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1C20C" w14:textId="77777777" w:rsidR="004C5016" w:rsidRPr="00674D55" w:rsidRDefault="0094510B" w:rsidP="004C5016">
      <w:pPr>
        <w:jc w:val="center"/>
        <w:rPr>
          <w:rFonts w:ascii="Selawik" w:hAnsi="Selawik" w:cs="Arial"/>
          <w:b/>
          <w:sz w:val="28"/>
          <w:szCs w:val="28"/>
        </w:rPr>
      </w:pPr>
      <w:r w:rsidRPr="00674D55">
        <w:rPr>
          <w:rFonts w:ascii="Selawik" w:hAnsi="Selawik"/>
          <w:noProof/>
          <w:lang w:val="es-CL" w:eastAsia="es-CL"/>
        </w:rPr>
        <w:drawing>
          <wp:anchor distT="0" distB="0" distL="114300" distR="114300" simplePos="0" relativeHeight="251659264" behindDoc="1" locked="0" layoutInCell="1" allowOverlap="1" wp14:anchorId="60DAAC46" wp14:editId="400FD9B6">
            <wp:simplePos x="0" y="0"/>
            <wp:positionH relativeFrom="column">
              <wp:posOffset>2000194</wp:posOffset>
            </wp:positionH>
            <wp:positionV relativeFrom="paragraph">
              <wp:posOffset>55880</wp:posOffset>
            </wp:positionV>
            <wp:extent cx="1873250" cy="1118235"/>
            <wp:effectExtent l="0" t="0" r="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srcRect r="24864"/>
                    <a:stretch>
                      <a:fillRect/>
                    </a:stretch>
                  </pic:blipFill>
                  <pic:spPr bwMode="auto">
                    <a:xfrm>
                      <a:off x="0" y="0"/>
                      <a:ext cx="1873250" cy="1118235"/>
                    </a:xfrm>
                    <a:prstGeom prst="rect">
                      <a:avLst/>
                    </a:prstGeom>
                    <a:noFill/>
                  </pic:spPr>
                </pic:pic>
              </a:graphicData>
            </a:graphic>
            <wp14:sizeRelH relativeFrom="margin">
              <wp14:pctWidth>0</wp14:pctWidth>
            </wp14:sizeRelH>
            <wp14:sizeRelV relativeFrom="margin">
              <wp14:pctHeight>0</wp14:pctHeight>
            </wp14:sizeRelV>
          </wp:anchor>
        </w:drawing>
      </w:r>
    </w:p>
    <w:p w14:paraId="2A2E3627" w14:textId="77777777" w:rsidR="004C5016" w:rsidRPr="00674D55" w:rsidRDefault="004C5016" w:rsidP="004C5016">
      <w:pPr>
        <w:jc w:val="center"/>
        <w:rPr>
          <w:rFonts w:ascii="Selawik" w:hAnsi="Selawik" w:cs="Arial"/>
          <w:b/>
          <w:sz w:val="28"/>
          <w:szCs w:val="28"/>
        </w:rPr>
      </w:pPr>
    </w:p>
    <w:p w14:paraId="49E0504E" w14:textId="77777777" w:rsidR="004C5016" w:rsidRPr="00674D55" w:rsidRDefault="004C5016" w:rsidP="004C5016">
      <w:pPr>
        <w:jc w:val="center"/>
        <w:rPr>
          <w:rFonts w:ascii="Selawik" w:hAnsi="Selawik" w:cs="Arial"/>
          <w:b/>
          <w:color w:val="333399"/>
          <w:sz w:val="40"/>
          <w:szCs w:val="40"/>
        </w:rPr>
      </w:pPr>
    </w:p>
    <w:p w14:paraId="3D75ADE2" w14:textId="77777777" w:rsidR="004C5016" w:rsidRPr="00674D55" w:rsidRDefault="004C5016" w:rsidP="004C5016">
      <w:pPr>
        <w:jc w:val="center"/>
        <w:rPr>
          <w:rFonts w:ascii="Selawik" w:hAnsi="Selawik" w:cs="Arial"/>
          <w:b/>
          <w:color w:val="333399"/>
          <w:sz w:val="40"/>
          <w:szCs w:val="40"/>
        </w:rPr>
      </w:pPr>
    </w:p>
    <w:p w14:paraId="669C8001" w14:textId="77777777" w:rsidR="004C5016" w:rsidRPr="00674D55" w:rsidRDefault="004C5016" w:rsidP="004C5016">
      <w:pPr>
        <w:jc w:val="center"/>
        <w:rPr>
          <w:rFonts w:ascii="Selawik" w:hAnsi="Selawik" w:cs="Arial"/>
          <w:b/>
          <w:color w:val="333399"/>
          <w:sz w:val="40"/>
          <w:szCs w:val="40"/>
        </w:rPr>
      </w:pPr>
    </w:p>
    <w:p w14:paraId="1CE79C74" w14:textId="77777777" w:rsidR="004C5016" w:rsidRPr="00674D55" w:rsidRDefault="004C5016" w:rsidP="004C5016">
      <w:pPr>
        <w:jc w:val="center"/>
        <w:rPr>
          <w:rFonts w:ascii="Selawik" w:hAnsi="Selawik" w:cs="Arial"/>
          <w:b/>
          <w:color w:val="333399"/>
          <w:sz w:val="40"/>
          <w:szCs w:val="40"/>
        </w:rPr>
      </w:pPr>
    </w:p>
    <w:p w14:paraId="7C69CBCE" w14:textId="77777777" w:rsidR="004C5016" w:rsidRPr="00674D55" w:rsidRDefault="004C5016" w:rsidP="004C5016">
      <w:pPr>
        <w:jc w:val="center"/>
        <w:rPr>
          <w:rFonts w:ascii="Selawik" w:hAnsi="Selawik" w:cs="Arial"/>
          <w:b/>
          <w:color w:val="333399"/>
          <w:sz w:val="40"/>
          <w:szCs w:val="40"/>
        </w:rPr>
      </w:pPr>
    </w:p>
    <w:p w14:paraId="01BC8A7C" w14:textId="77777777" w:rsidR="007C5CE6" w:rsidRPr="00674D55" w:rsidRDefault="007C5CE6" w:rsidP="004C5016">
      <w:pPr>
        <w:jc w:val="center"/>
        <w:rPr>
          <w:rFonts w:ascii="Selawik" w:hAnsi="Selawik" w:cs="Arial"/>
          <w:b/>
          <w:color w:val="333399"/>
          <w:sz w:val="40"/>
          <w:szCs w:val="40"/>
        </w:rPr>
      </w:pPr>
    </w:p>
    <w:p w14:paraId="39197936" w14:textId="77777777" w:rsidR="004C5016" w:rsidRPr="00674D55" w:rsidRDefault="004C5016" w:rsidP="004C5016">
      <w:pPr>
        <w:jc w:val="center"/>
        <w:rPr>
          <w:rFonts w:ascii="Selawik" w:hAnsi="Selawik" w:cs="Arial"/>
          <w:b/>
          <w:color w:val="333399"/>
          <w:sz w:val="40"/>
          <w:szCs w:val="40"/>
          <w:u w:val="single"/>
        </w:rPr>
      </w:pPr>
    </w:p>
    <w:p w14:paraId="214BCF02" w14:textId="77777777" w:rsidR="004C5016" w:rsidRPr="00674D55" w:rsidRDefault="004C5016" w:rsidP="004C5016">
      <w:pPr>
        <w:jc w:val="center"/>
        <w:rPr>
          <w:rFonts w:ascii="Selawik" w:hAnsi="Selawik" w:cs="Arial"/>
          <w:b/>
          <w:color w:val="333399"/>
          <w:sz w:val="40"/>
          <w:szCs w:val="40"/>
          <w:u w:val="single"/>
        </w:rPr>
      </w:pPr>
    </w:p>
    <w:p w14:paraId="6D4610ED" w14:textId="2E7D2019" w:rsidR="004C5016" w:rsidRPr="00674D55" w:rsidRDefault="00253E27" w:rsidP="0094510B">
      <w:pPr>
        <w:shd w:val="clear" w:color="auto" w:fill="595959" w:themeFill="text1" w:themeFillTint="A6"/>
        <w:jc w:val="center"/>
        <w:rPr>
          <w:rFonts w:ascii="Selawik" w:hAnsi="Selawik" w:cs="Arial"/>
          <w:b/>
          <w:color w:val="FFFFFF" w:themeColor="background1"/>
          <w:sz w:val="48"/>
          <w:szCs w:val="40"/>
          <w:u w:val="single"/>
        </w:rPr>
      </w:pPr>
      <w:r>
        <w:rPr>
          <w:rFonts w:ascii="Selawik" w:hAnsi="Selawik" w:cs="Arial"/>
          <w:b/>
          <w:color w:val="FFFFFF" w:themeColor="background1"/>
          <w:sz w:val="68"/>
          <w:szCs w:val="68"/>
        </w:rPr>
        <w:t>Glosa N°</w:t>
      </w:r>
      <w:r w:rsidRPr="006F5C22">
        <w:rPr>
          <w:rFonts w:ascii="Selawik" w:hAnsi="Selawik" w:cs="Arial"/>
          <w:b/>
          <w:color w:val="FFFFFF" w:themeColor="background1"/>
          <w:sz w:val="68"/>
          <w:szCs w:val="68"/>
        </w:rPr>
        <w:t>5</w:t>
      </w:r>
    </w:p>
    <w:p w14:paraId="340442EB" w14:textId="77777777" w:rsidR="004C5016" w:rsidRPr="00674D55" w:rsidRDefault="004C5016" w:rsidP="0094510B">
      <w:pPr>
        <w:shd w:val="clear" w:color="auto" w:fill="4F81BD" w:themeFill="accent1"/>
        <w:jc w:val="center"/>
        <w:rPr>
          <w:rFonts w:ascii="Selawik" w:hAnsi="Selawik" w:cs="Arial"/>
          <w:b/>
          <w:color w:val="FFFFFF" w:themeColor="background1"/>
          <w:sz w:val="36"/>
          <w:szCs w:val="36"/>
        </w:rPr>
      </w:pPr>
      <w:r w:rsidRPr="00674D55">
        <w:rPr>
          <w:rFonts w:ascii="Selawik" w:hAnsi="Selawik" w:cs="Arial"/>
          <w:b/>
          <w:color w:val="FFFFFF" w:themeColor="background1"/>
          <w:sz w:val="36"/>
          <w:szCs w:val="36"/>
        </w:rPr>
        <w:t xml:space="preserve">METAS INSTITUCIONALES DEL </w:t>
      </w:r>
    </w:p>
    <w:p w14:paraId="2287FDBA" w14:textId="77777777" w:rsidR="004C5016" w:rsidRPr="00674D55" w:rsidRDefault="004C5016" w:rsidP="0094510B">
      <w:pPr>
        <w:shd w:val="clear" w:color="auto" w:fill="4F81BD" w:themeFill="accent1"/>
        <w:jc w:val="center"/>
        <w:rPr>
          <w:rFonts w:ascii="Selawik" w:hAnsi="Selawik" w:cs="Arial"/>
          <w:b/>
          <w:color w:val="FFFFFF" w:themeColor="background1"/>
          <w:sz w:val="36"/>
          <w:szCs w:val="36"/>
        </w:rPr>
      </w:pPr>
      <w:r w:rsidRPr="00674D55">
        <w:rPr>
          <w:rFonts w:ascii="Selawik" w:hAnsi="Selawik" w:cs="Arial"/>
          <w:b/>
          <w:color w:val="FFFFFF" w:themeColor="background1"/>
          <w:sz w:val="36"/>
          <w:szCs w:val="36"/>
        </w:rPr>
        <w:t>MINISTERIO PÚBLICO</w:t>
      </w:r>
    </w:p>
    <w:p w14:paraId="561D7F91" w14:textId="77777777" w:rsidR="004C5016" w:rsidRPr="00674D55" w:rsidRDefault="004C5016" w:rsidP="004C5016">
      <w:pPr>
        <w:jc w:val="center"/>
        <w:rPr>
          <w:rFonts w:ascii="Selawik" w:hAnsi="Selawik" w:cs="Arial"/>
          <w:b/>
          <w:color w:val="333399"/>
        </w:rPr>
      </w:pPr>
    </w:p>
    <w:p w14:paraId="44B3C3F4" w14:textId="77777777" w:rsidR="004C5016" w:rsidRPr="00674D55" w:rsidRDefault="004C5016" w:rsidP="004C5016">
      <w:pPr>
        <w:jc w:val="center"/>
        <w:rPr>
          <w:rFonts w:ascii="Selawik" w:hAnsi="Selawik" w:cs="Arial"/>
          <w:b/>
          <w:color w:val="333399"/>
        </w:rPr>
      </w:pPr>
    </w:p>
    <w:p w14:paraId="3F713F28" w14:textId="77777777" w:rsidR="004C5016" w:rsidRPr="00674D55" w:rsidRDefault="004C5016" w:rsidP="004C5016">
      <w:pPr>
        <w:jc w:val="center"/>
        <w:rPr>
          <w:rFonts w:ascii="Selawik" w:hAnsi="Selawik" w:cs="Arial"/>
          <w:b/>
          <w:color w:val="333399"/>
        </w:rPr>
      </w:pPr>
    </w:p>
    <w:p w14:paraId="7690C15D" w14:textId="77777777" w:rsidR="004C5016" w:rsidRPr="00674D55" w:rsidRDefault="004C5016" w:rsidP="004C5016">
      <w:pPr>
        <w:jc w:val="center"/>
        <w:rPr>
          <w:rFonts w:ascii="Selawik" w:hAnsi="Selawik" w:cs="Arial"/>
          <w:b/>
          <w:color w:val="333399"/>
        </w:rPr>
      </w:pPr>
    </w:p>
    <w:p w14:paraId="2A56F2D7" w14:textId="77777777" w:rsidR="004C5016" w:rsidRDefault="004C5016" w:rsidP="004C5016">
      <w:pPr>
        <w:jc w:val="center"/>
        <w:rPr>
          <w:rFonts w:ascii="Selawik" w:hAnsi="Selawik" w:cs="Arial"/>
          <w:b/>
          <w:color w:val="333399"/>
        </w:rPr>
      </w:pPr>
    </w:p>
    <w:p w14:paraId="7CB8A188" w14:textId="77777777" w:rsidR="00674D55" w:rsidRPr="00674D55" w:rsidRDefault="00674D55" w:rsidP="004C5016">
      <w:pPr>
        <w:jc w:val="center"/>
        <w:rPr>
          <w:rFonts w:ascii="Selawik" w:hAnsi="Selawik" w:cs="Arial"/>
          <w:b/>
          <w:color w:val="333399"/>
        </w:rPr>
      </w:pPr>
    </w:p>
    <w:p w14:paraId="64AEE4DD" w14:textId="77777777" w:rsidR="004C5016" w:rsidRPr="00674D55" w:rsidRDefault="004C5016" w:rsidP="004C5016">
      <w:pPr>
        <w:jc w:val="center"/>
        <w:rPr>
          <w:rFonts w:ascii="Selawik" w:hAnsi="Selawik" w:cs="Arial"/>
          <w:b/>
          <w:color w:val="333399"/>
        </w:rPr>
      </w:pPr>
    </w:p>
    <w:p w14:paraId="248EEC6C" w14:textId="77777777" w:rsidR="004C5016" w:rsidRDefault="004C5016" w:rsidP="004C5016">
      <w:pPr>
        <w:jc w:val="center"/>
        <w:rPr>
          <w:rFonts w:ascii="Selawik" w:hAnsi="Selawik" w:cs="Arial"/>
          <w:b/>
          <w:color w:val="333399"/>
        </w:rPr>
      </w:pPr>
    </w:p>
    <w:p w14:paraId="2310BC2C" w14:textId="77777777" w:rsidR="00253E27" w:rsidRPr="00674D55" w:rsidRDefault="00253E27" w:rsidP="004C5016">
      <w:pPr>
        <w:jc w:val="center"/>
        <w:rPr>
          <w:rFonts w:ascii="Selawik" w:hAnsi="Selawik" w:cs="Arial"/>
          <w:b/>
          <w:color w:val="333399"/>
        </w:rPr>
      </w:pPr>
    </w:p>
    <w:p w14:paraId="1A10A18F" w14:textId="77777777" w:rsidR="004C5016" w:rsidRPr="00674D55" w:rsidRDefault="004C5016" w:rsidP="004C5016">
      <w:pPr>
        <w:jc w:val="center"/>
        <w:rPr>
          <w:rFonts w:ascii="Selawik" w:hAnsi="Selawik" w:cs="Arial"/>
          <w:b/>
          <w:color w:val="333399"/>
        </w:rPr>
      </w:pPr>
    </w:p>
    <w:p w14:paraId="0B12B8E1" w14:textId="77777777" w:rsidR="001C1DC3" w:rsidRDefault="001C1DC3" w:rsidP="004C5016">
      <w:pPr>
        <w:jc w:val="center"/>
        <w:rPr>
          <w:rFonts w:ascii="Selawik" w:hAnsi="Selawik" w:cs="Arial"/>
          <w:b/>
          <w:color w:val="333399"/>
        </w:rPr>
      </w:pPr>
    </w:p>
    <w:p w14:paraId="473C9E04" w14:textId="77777777" w:rsidR="00674D55" w:rsidRPr="00674D55" w:rsidRDefault="00674D55" w:rsidP="004C5016">
      <w:pPr>
        <w:jc w:val="center"/>
        <w:rPr>
          <w:rFonts w:ascii="Selawik" w:hAnsi="Selawik" w:cs="Arial"/>
          <w:b/>
          <w:color w:val="333399"/>
        </w:rPr>
      </w:pPr>
    </w:p>
    <w:p w14:paraId="684B3F9E" w14:textId="77777777" w:rsidR="001C1DC3" w:rsidRPr="00674D55" w:rsidRDefault="001C1DC3" w:rsidP="004C5016">
      <w:pPr>
        <w:jc w:val="center"/>
        <w:rPr>
          <w:rFonts w:ascii="Selawik" w:hAnsi="Selawik" w:cs="Arial"/>
          <w:b/>
          <w:color w:val="333399"/>
        </w:rPr>
      </w:pPr>
    </w:p>
    <w:p w14:paraId="29D46CDD" w14:textId="77777777" w:rsidR="001C1DC3" w:rsidRPr="00674D55" w:rsidRDefault="001C1DC3" w:rsidP="004C5016">
      <w:pPr>
        <w:jc w:val="center"/>
        <w:rPr>
          <w:rFonts w:ascii="Selawik" w:hAnsi="Selawik" w:cs="Arial"/>
          <w:b/>
          <w:color w:val="333399"/>
        </w:rPr>
      </w:pPr>
    </w:p>
    <w:p w14:paraId="5561134E" w14:textId="77777777" w:rsidR="001C1DC3" w:rsidRPr="00674D55" w:rsidRDefault="001C1DC3" w:rsidP="004C5016">
      <w:pPr>
        <w:jc w:val="center"/>
        <w:rPr>
          <w:rFonts w:ascii="Selawik" w:hAnsi="Selawik" w:cs="Arial"/>
          <w:b/>
          <w:color w:val="333399"/>
        </w:rPr>
      </w:pPr>
    </w:p>
    <w:p w14:paraId="082E79F2" w14:textId="77777777" w:rsidR="001C1DC3" w:rsidRPr="00674D55" w:rsidRDefault="001C1DC3" w:rsidP="004C5016">
      <w:pPr>
        <w:jc w:val="center"/>
        <w:rPr>
          <w:rFonts w:ascii="Selawik" w:hAnsi="Selawik" w:cs="Arial"/>
          <w:color w:val="595959" w:themeColor="text1" w:themeTint="A6"/>
          <w:sz w:val="20"/>
        </w:rPr>
      </w:pPr>
    </w:p>
    <w:p w14:paraId="7A08EDE3" w14:textId="77777777" w:rsidR="004C5016" w:rsidRPr="00674D55" w:rsidRDefault="004C5016" w:rsidP="004C5016">
      <w:pPr>
        <w:jc w:val="center"/>
        <w:rPr>
          <w:rFonts w:ascii="Selawik" w:hAnsi="Selawik" w:cs="Arial"/>
          <w:b/>
          <w:color w:val="595959" w:themeColor="text1" w:themeTint="A6"/>
          <w:sz w:val="20"/>
          <w:szCs w:val="20"/>
        </w:rPr>
      </w:pPr>
      <w:r w:rsidRPr="00674D55">
        <w:rPr>
          <w:rFonts w:ascii="Selawik" w:hAnsi="Selawik" w:cs="Arial"/>
          <w:b/>
          <w:color w:val="595959" w:themeColor="text1" w:themeTint="A6"/>
          <w:sz w:val="20"/>
          <w:szCs w:val="20"/>
        </w:rPr>
        <w:t xml:space="preserve">MONITOREO </w:t>
      </w:r>
    </w:p>
    <w:p w14:paraId="439B076A" w14:textId="273BF39B" w:rsidR="000C65DE" w:rsidRDefault="00440DCE" w:rsidP="002F52AF">
      <w:pPr>
        <w:jc w:val="center"/>
        <w:rPr>
          <w:rFonts w:ascii="Selawik" w:hAnsi="Selawik" w:cs="Arial"/>
          <w:b/>
          <w:color w:val="595959" w:themeColor="text1" w:themeTint="A6"/>
          <w:sz w:val="20"/>
          <w:szCs w:val="20"/>
        </w:rPr>
      </w:pPr>
      <w:r w:rsidRPr="00674D55">
        <w:rPr>
          <w:rFonts w:ascii="Selawik" w:hAnsi="Selawik" w:cs="Arial"/>
          <w:b/>
          <w:color w:val="595959" w:themeColor="text1" w:themeTint="A6"/>
          <w:sz w:val="20"/>
          <w:szCs w:val="20"/>
        </w:rPr>
        <w:t>ENERO</w:t>
      </w:r>
      <w:r w:rsidR="004C5016" w:rsidRPr="00674D55">
        <w:rPr>
          <w:rFonts w:ascii="Selawik" w:hAnsi="Selawik" w:cs="Arial"/>
          <w:b/>
          <w:color w:val="595959" w:themeColor="text1" w:themeTint="A6"/>
          <w:sz w:val="20"/>
          <w:szCs w:val="20"/>
        </w:rPr>
        <w:t xml:space="preserve"> –</w:t>
      </w:r>
      <w:r w:rsidR="002118C2" w:rsidRPr="00674D55">
        <w:rPr>
          <w:rFonts w:ascii="Selawik" w:hAnsi="Selawik" w:cs="Arial"/>
          <w:b/>
          <w:color w:val="595959" w:themeColor="text1" w:themeTint="A6"/>
          <w:sz w:val="20"/>
          <w:szCs w:val="20"/>
        </w:rPr>
        <w:t xml:space="preserve"> </w:t>
      </w:r>
      <w:r w:rsidR="0087684B">
        <w:rPr>
          <w:rFonts w:ascii="Selawik" w:hAnsi="Selawik" w:cs="Arial"/>
          <w:b/>
          <w:color w:val="595959" w:themeColor="text1" w:themeTint="A6"/>
          <w:sz w:val="20"/>
          <w:szCs w:val="20"/>
        </w:rPr>
        <w:t>SEPTIEMBRE</w:t>
      </w:r>
      <w:r w:rsidR="008E3FF5" w:rsidRPr="00674D55">
        <w:rPr>
          <w:rFonts w:ascii="Selawik" w:hAnsi="Selawik" w:cs="Arial"/>
          <w:b/>
          <w:color w:val="595959" w:themeColor="text1" w:themeTint="A6"/>
          <w:sz w:val="20"/>
          <w:szCs w:val="20"/>
        </w:rPr>
        <w:t xml:space="preserve"> </w:t>
      </w:r>
      <w:r w:rsidR="004C5016" w:rsidRPr="00674D55">
        <w:rPr>
          <w:rFonts w:ascii="Selawik" w:hAnsi="Selawik" w:cs="Arial"/>
          <w:b/>
          <w:color w:val="595959" w:themeColor="text1" w:themeTint="A6"/>
          <w:sz w:val="20"/>
          <w:szCs w:val="20"/>
        </w:rPr>
        <w:t xml:space="preserve">DE </w:t>
      </w:r>
      <w:r w:rsidR="0033422B" w:rsidRPr="00674D55">
        <w:rPr>
          <w:rFonts w:ascii="Selawik" w:hAnsi="Selawik" w:cs="Arial"/>
          <w:b/>
          <w:color w:val="595959" w:themeColor="text1" w:themeTint="A6"/>
          <w:sz w:val="20"/>
          <w:szCs w:val="20"/>
        </w:rPr>
        <w:t>202</w:t>
      </w:r>
      <w:r w:rsidR="002118C2" w:rsidRPr="00674D55">
        <w:rPr>
          <w:rFonts w:ascii="Selawik" w:hAnsi="Selawik" w:cs="Arial"/>
          <w:b/>
          <w:color w:val="595959" w:themeColor="text1" w:themeTint="A6"/>
          <w:sz w:val="20"/>
          <w:szCs w:val="20"/>
        </w:rPr>
        <w:t>4</w:t>
      </w:r>
    </w:p>
    <w:p w14:paraId="30797E08" w14:textId="77777777" w:rsidR="00E769AB" w:rsidRDefault="00E769AB" w:rsidP="002F52AF">
      <w:pPr>
        <w:jc w:val="center"/>
        <w:rPr>
          <w:rFonts w:ascii="Selawik" w:hAnsi="Selawik" w:cs="Arial"/>
          <w:b/>
          <w:color w:val="595959" w:themeColor="text1" w:themeTint="A6"/>
          <w:sz w:val="20"/>
          <w:szCs w:val="20"/>
        </w:rPr>
      </w:pPr>
    </w:p>
    <w:p w14:paraId="462E3550" w14:textId="77777777" w:rsidR="00E769AB" w:rsidRDefault="00E769AB" w:rsidP="002F52AF">
      <w:pPr>
        <w:jc w:val="center"/>
        <w:rPr>
          <w:rFonts w:ascii="Selawik" w:hAnsi="Selawik" w:cs="Arial"/>
          <w:b/>
          <w:color w:val="595959" w:themeColor="text1" w:themeTint="A6"/>
          <w:sz w:val="20"/>
          <w:szCs w:val="20"/>
        </w:rPr>
      </w:pPr>
    </w:p>
    <w:p w14:paraId="6433F82B" w14:textId="77777777" w:rsidR="00E769AB" w:rsidRDefault="00E769AB" w:rsidP="002F52AF">
      <w:pPr>
        <w:jc w:val="center"/>
        <w:rPr>
          <w:rFonts w:ascii="Selawik" w:hAnsi="Selawik" w:cs="Arial"/>
          <w:b/>
          <w:color w:val="595959" w:themeColor="text1" w:themeTint="A6"/>
          <w:sz w:val="20"/>
          <w:szCs w:val="20"/>
        </w:rPr>
      </w:pPr>
    </w:p>
    <w:p w14:paraId="62B525B1" w14:textId="77777777" w:rsidR="00E769AB" w:rsidRPr="00674D55" w:rsidRDefault="00E769AB" w:rsidP="002F52AF">
      <w:pPr>
        <w:jc w:val="center"/>
        <w:rPr>
          <w:rFonts w:ascii="Selawik" w:hAnsi="Selawik" w:cs="Arial"/>
          <w:b/>
          <w:color w:val="595959" w:themeColor="text1" w:themeTint="A6"/>
          <w:sz w:val="20"/>
          <w:szCs w:val="20"/>
        </w:rPr>
      </w:pPr>
    </w:p>
    <w:p w14:paraId="796FFD59" w14:textId="77777777" w:rsidR="004C5016" w:rsidRPr="00674D55" w:rsidRDefault="004C5016" w:rsidP="000C65DE">
      <w:pPr>
        <w:shd w:val="clear" w:color="auto" w:fill="4F81BD" w:themeFill="accent1"/>
        <w:jc w:val="center"/>
        <w:rPr>
          <w:rFonts w:ascii="Selawik" w:hAnsi="Selawik" w:cs="Arial"/>
          <w:b/>
          <w:color w:val="FFFFFF" w:themeColor="background1"/>
          <w:sz w:val="18"/>
          <w:szCs w:val="40"/>
        </w:rPr>
      </w:pPr>
      <w:r w:rsidRPr="00674D55">
        <w:rPr>
          <w:rFonts w:ascii="Selawik" w:hAnsi="Selawik" w:cs="Arial"/>
          <w:b/>
          <w:color w:val="FFFFFF" w:themeColor="background1"/>
          <w:sz w:val="32"/>
          <w:szCs w:val="28"/>
        </w:rPr>
        <w:lastRenderedPageBreak/>
        <w:t>METAS INSTITUCIONALES</w:t>
      </w:r>
    </w:p>
    <w:p w14:paraId="58572F80" w14:textId="2F162EDF" w:rsidR="004C5016" w:rsidRPr="00674D55" w:rsidRDefault="0093236C" w:rsidP="000C65DE">
      <w:pPr>
        <w:shd w:val="clear" w:color="auto" w:fill="4F81BD" w:themeFill="accent1"/>
        <w:jc w:val="center"/>
        <w:rPr>
          <w:rFonts w:ascii="Selawik" w:hAnsi="Selawik" w:cs="Arial"/>
          <w:b/>
          <w:color w:val="FFFFFF" w:themeColor="background1"/>
          <w:sz w:val="32"/>
          <w:szCs w:val="28"/>
        </w:rPr>
      </w:pPr>
      <w:r w:rsidRPr="00674D55">
        <w:rPr>
          <w:rFonts w:ascii="Selawik" w:hAnsi="Selawik" w:cs="Arial"/>
          <w:b/>
          <w:color w:val="FFFFFF" w:themeColor="background1"/>
          <w:sz w:val="32"/>
          <w:szCs w:val="28"/>
        </w:rPr>
        <w:t xml:space="preserve">DEL MINISTERIO PÚBLICO AÑO </w:t>
      </w:r>
      <w:r w:rsidR="00176B75" w:rsidRPr="00674D55">
        <w:rPr>
          <w:rFonts w:ascii="Selawik" w:hAnsi="Selawik" w:cs="Arial"/>
          <w:b/>
          <w:color w:val="FFFFFF" w:themeColor="background1"/>
          <w:sz w:val="32"/>
          <w:szCs w:val="28"/>
        </w:rPr>
        <w:t>202</w:t>
      </w:r>
      <w:r w:rsidR="002118C2" w:rsidRPr="00674D55">
        <w:rPr>
          <w:rFonts w:ascii="Selawik" w:hAnsi="Selawik" w:cs="Arial"/>
          <w:b/>
          <w:color w:val="FFFFFF" w:themeColor="background1"/>
          <w:sz w:val="32"/>
          <w:szCs w:val="28"/>
        </w:rPr>
        <w:t>4</w:t>
      </w:r>
    </w:p>
    <w:p w14:paraId="23C61832" w14:textId="77777777" w:rsidR="004C5016" w:rsidRPr="00674D55" w:rsidRDefault="004C5016" w:rsidP="004C5016">
      <w:pPr>
        <w:rPr>
          <w:rFonts w:ascii="Selawik" w:hAnsi="Selawik" w:cs="Arial"/>
          <w:sz w:val="20"/>
        </w:rPr>
      </w:pPr>
    </w:p>
    <w:p w14:paraId="019AEFB7" w14:textId="77777777" w:rsidR="004C5016" w:rsidRPr="00674D55" w:rsidRDefault="004C5016" w:rsidP="004C5016">
      <w:pPr>
        <w:rPr>
          <w:rFonts w:ascii="Selawik" w:hAnsi="Selawik" w:cs="Arial"/>
          <w:sz w:val="20"/>
        </w:rPr>
      </w:pPr>
    </w:p>
    <w:p w14:paraId="2FEADFC7" w14:textId="77777777" w:rsidR="004C5016" w:rsidRPr="00674D55" w:rsidRDefault="004C5016" w:rsidP="004C5016">
      <w:pPr>
        <w:rPr>
          <w:rFonts w:ascii="Selawik" w:hAnsi="Selawik" w:cs="Arial"/>
          <w:sz w:val="22"/>
        </w:rPr>
      </w:pPr>
    </w:p>
    <w:p w14:paraId="609793C8" w14:textId="02661B07" w:rsidR="004C5016" w:rsidRPr="00674D55" w:rsidRDefault="000D2E75" w:rsidP="004C5016">
      <w:pPr>
        <w:jc w:val="both"/>
        <w:rPr>
          <w:rFonts w:ascii="Selawik" w:hAnsi="Selawik" w:cs="Arial"/>
          <w:sz w:val="20"/>
        </w:rPr>
      </w:pPr>
      <w:r w:rsidRPr="00674D55">
        <w:rPr>
          <w:rFonts w:ascii="Selawik" w:hAnsi="Selawik" w:cs="Arial"/>
          <w:sz w:val="20"/>
        </w:rPr>
        <w:t>L</w:t>
      </w:r>
      <w:r w:rsidR="004C5016" w:rsidRPr="00674D55">
        <w:rPr>
          <w:rFonts w:ascii="Selawik" w:hAnsi="Selawik" w:cs="Arial"/>
          <w:sz w:val="20"/>
        </w:rPr>
        <w:t>as Metas Institucionales del Ministerio Público corresponden a aquéllas de carácter anual y acumulado, que se han definido para las Fiscalías Regio</w:t>
      </w:r>
      <w:r w:rsidR="0093236C" w:rsidRPr="00674D55">
        <w:rPr>
          <w:rFonts w:ascii="Selawik" w:hAnsi="Selawik" w:cs="Arial"/>
          <w:sz w:val="20"/>
        </w:rPr>
        <w:t>nales, en su carácter de centro</w:t>
      </w:r>
      <w:r w:rsidR="004C5016" w:rsidRPr="00674D55">
        <w:rPr>
          <w:rFonts w:ascii="Selawik" w:hAnsi="Selawik" w:cs="Arial"/>
          <w:sz w:val="20"/>
        </w:rPr>
        <w:t xml:space="preserve"> de responsabilidad, dado que dichas unidades operativas materializan las funciones que debe cumplir la institución </w:t>
      </w:r>
      <w:proofErr w:type="gramStart"/>
      <w:r w:rsidR="004C5016" w:rsidRPr="00674D55">
        <w:rPr>
          <w:rFonts w:ascii="Selawik" w:hAnsi="Selawik" w:cs="Arial"/>
          <w:sz w:val="20"/>
        </w:rPr>
        <w:t>de acuerdo a</w:t>
      </w:r>
      <w:proofErr w:type="gramEnd"/>
      <w:r w:rsidR="004C5016" w:rsidRPr="00674D55">
        <w:rPr>
          <w:rFonts w:ascii="Selawik" w:hAnsi="Selawik" w:cs="Arial"/>
          <w:sz w:val="20"/>
        </w:rPr>
        <w:t xml:space="preserve"> lo establecido por la Constitución Política del Estado y la Ley Orgánica Constitucional del Ministerio Público. En este contexto, la finalidad del presente documento es dar a conocer</w:t>
      </w:r>
      <w:r w:rsidRPr="00674D55">
        <w:rPr>
          <w:rFonts w:ascii="Selawik" w:hAnsi="Selawik" w:cs="Arial"/>
          <w:sz w:val="20"/>
        </w:rPr>
        <w:t xml:space="preserve"> el estado de avance general</w:t>
      </w:r>
      <w:r w:rsidR="004C5016" w:rsidRPr="00674D55">
        <w:rPr>
          <w:rFonts w:ascii="Selawik" w:hAnsi="Selawik" w:cs="Arial"/>
          <w:sz w:val="20"/>
        </w:rPr>
        <w:t xml:space="preserve"> los indicadores de ge</w:t>
      </w:r>
      <w:r w:rsidR="009341C0" w:rsidRPr="00674D55">
        <w:rPr>
          <w:rFonts w:ascii="Selawik" w:hAnsi="Selawik" w:cs="Arial"/>
          <w:sz w:val="20"/>
        </w:rPr>
        <w:t xml:space="preserve">stión </w:t>
      </w:r>
      <w:r w:rsidRPr="00674D55">
        <w:rPr>
          <w:rFonts w:ascii="Selawik" w:hAnsi="Selawik" w:cs="Arial"/>
          <w:sz w:val="20"/>
        </w:rPr>
        <w:t>monitoreados</w:t>
      </w:r>
      <w:r w:rsidR="009341C0" w:rsidRPr="00674D55">
        <w:rPr>
          <w:rFonts w:ascii="Selawik" w:hAnsi="Selawik" w:cs="Arial"/>
          <w:sz w:val="20"/>
        </w:rPr>
        <w:t xml:space="preserve"> para el año </w:t>
      </w:r>
      <w:r w:rsidR="00176B75" w:rsidRPr="00674D55">
        <w:rPr>
          <w:rFonts w:ascii="Selawik" w:hAnsi="Selawik" w:cs="Arial"/>
          <w:sz w:val="20"/>
        </w:rPr>
        <w:t>20</w:t>
      </w:r>
      <w:r w:rsidR="0033422B" w:rsidRPr="00674D55">
        <w:rPr>
          <w:rFonts w:ascii="Selawik" w:hAnsi="Selawik" w:cs="Arial"/>
          <w:sz w:val="20"/>
        </w:rPr>
        <w:t>2</w:t>
      </w:r>
      <w:r w:rsidR="002118C2" w:rsidRPr="00674D55">
        <w:rPr>
          <w:rFonts w:ascii="Selawik" w:hAnsi="Selawik" w:cs="Arial"/>
          <w:sz w:val="20"/>
        </w:rPr>
        <w:t>4</w:t>
      </w:r>
      <w:r w:rsidR="004C5016" w:rsidRPr="00674D55">
        <w:rPr>
          <w:rFonts w:ascii="Selawik" w:hAnsi="Selawik" w:cs="Arial"/>
          <w:sz w:val="20"/>
        </w:rPr>
        <w:t xml:space="preserve"> para las </w:t>
      </w:r>
      <w:r w:rsidR="00060D59" w:rsidRPr="00674D55">
        <w:rPr>
          <w:rFonts w:ascii="Selawik" w:hAnsi="Selawik" w:cs="Arial"/>
          <w:sz w:val="20"/>
        </w:rPr>
        <w:t>fiscalías regionales</w:t>
      </w:r>
      <w:r w:rsidR="004C5016" w:rsidRPr="00674D55">
        <w:rPr>
          <w:rFonts w:ascii="Selawik" w:hAnsi="Selawik" w:cs="Arial"/>
          <w:sz w:val="20"/>
        </w:rPr>
        <w:t xml:space="preserve"> del país.</w:t>
      </w:r>
    </w:p>
    <w:p w14:paraId="320D57BB" w14:textId="77777777" w:rsidR="004C5016" w:rsidRPr="00674D55" w:rsidRDefault="004C5016" w:rsidP="004C5016">
      <w:pPr>
        <w:jc w:val="both"/>
        <w:rPr>
          <w:rFonts w:ascii="Selawik" w:hAnsi="Selawik" w:cs="Arial"/>
          <w:sz w:val="20"/>
        </w:rPr>
      </w:pPr>
    </w:p>
    <w:p w14:paraId="44EB6AAA" w14:textId="77777777" w:rsidR="004C5016" w:rsidRPr="00674D55" w:rsidRDefault="004C5016" w:rsidP="004C5016">
      <w:pPr>
        <w:jc w:val="both"/>
        <w:rPr>
          <w:rFonts w:ascii="Selawik" w:hAnsi="Selawik" w:cs="Arial"/>
          <w:sz w:val="20"/>
        </w:rPr>
      </w:pPr>
      <w:r w:rsidRPr="00674D55">
        <w:rPr>
          <w:rFonts w:ascii="Selawik" w:hAnsi="Selawik" w:cs="Arial"/>
          <w:sz w:val="20"/>
        </w:rPr>
        <w:t>Al respecto, es importante señalar que dichos indicadores de gestión constituyen un elemento fundamental para nuestra Institución y en particular para las Fiscalías Regionales, toda vez que permite direccionar la gestión de las Fiscalías Locales</w:t>
      </w:r>
      <w:r w:rsidR="000D2E75" w:rsidRPr="00674D55">
        <w:rPr>
          <w:rFonts w:ascii="Selawik" w:hAnsi="Selawik" w:cs="Arial"/>
          <w:sz w:val="20"/>
        </w:rPr>
        <w:t xml:space="preserve"> aportando</w:t>
      </w:r>
      <w:r w:rsidRPr="00674D55">
        <w:rPr>
          <w:rFonts w:ascii="Selawik" w:hAnsi="Selawik" w:cs="Arial"/>
          <w:sz w:val="20"/>
        </w:rPr>
        <w:t xml:space="preserve"> información </w:t>
      </w:r>
      <w:r w:rsidR="000D2E75" w:rsidRPr="00674D55">
        <w:rPr>
          <w:rFonts w:ascii="Selawik" w:hAnsi="Selawik" w:cs="Arial"/>
          <w:sz w:val="20"/>
        </w:rPr>
        <w:t>para</w:t>
      </w:r>
      <w:r w:rsidRPr="00674D55">
        <w:rPr>
          <w:rFonts w:ascii="Selawik" w:hAnsi="Selawik" w:cs="Arial"/>
          <w:sz w:val="20"/>
        </w:rPr>
        <w:t xml:space="preserve"> a la toma de decisiones y la adopción oportuna de acciones correctivas y/o preventivas, que permitan el mejoramiento de la gestión y la eficiente administración de los recursos disponibles.</w:t>
      </w:r>
    </w:p>
    <w:p w14:paraId="1667CB69" w14:textId="77777777" w:rsidR="004C5016" w:rsidRPr="00674D55" w:rsidRDefault="004C5016" w:rsidP="004C5016">
      <w:pPr>
        <w:ind w:left="550"/>
        <w:jc w:val="both"/>
        <w:rPr>
          <w:rFonts w:ascii="Selawik" w:hAnsi="Selawik" w:cs="Arial"/>
          <w:sz w:val="20"/>
        </w:rPr>
      </w:pPr>
    </w:p>
    <w:p w14:paraId="26F331D8" w14:textId="4CB81AA8" w:rsidR="00291F1B" w:rsidRPr="00674D55" w:rsidRDefault="004C5016" w:rsidP="00291F1B">
      <w:pPr>
        <w:jc w:val="both"/>
        <w:rPr>
          <w:rFonts w:ascii="Selawik" w:hAnsi="Selawik" w:cs="Arial"/>
          <w:sz w:val="20"/>
        </w:rPr>
      </w:pPr>
      <w:r w:rsidRPr="00674D55">
        <w:rPr>
          <w:rFonts w:ascii="Selawik" w:hAnsi="Selawik" w:cs="Arial"/>
          <w:sz w:val="20"/>
        </w:rPr>
        <w:t>A continuación, se presentan</w:t>
      </w:r>
      <w:r w:rsidR="0093236C" w:rsidRPr="00674D55">
        <w:rPr>
          <w:rFonts w:ascii="Selawik" w:hAnsi="Selawik" w:cs="Arial"/>
          <w:sz w:val="20"/>
        </w:rPr>
        <w:t xml:space="preserve"> el estado de avance para</w:t>
      </w:r>
      <w:r w:rsidR="009D1601" w:rsidRPr="00674D55">
        <w:rPr>
          <w:rFonts w:ascii="Selawik" w:hAnsi="Selawik" w:cs="Arial"/>
          <w:sz w:val="20"/>
        </w:rPr>
        <w:t xml:space="preserve"> </w:t>
      </w:r>
      <w:r w:rsidR="00291F1B" w:rsidRPr="00674D55">
        <w:rPr>
          <w:rFonts w:ascii="Selawik" w:hAnsi="Selawik" w:cs="Arial"/>
          <w:sz w:val="20"/>
        </w:rPr>
        <w:t xml:space="preserve">el </w:t>
      </w:r>
      <w:r w:rsidR="009D1601" w:rsidRPr="00674D55">
        <w:rPr>
          <w:rFonts w:ascii="Selawik" w:hAnsi="Selawik" w:cs="Arial"/>
          <w:sz w:val="20"/>
        </w:rPr>
        <w:t>período respectivo</w:t>
      </w:r>
      <w:r w:rsidRPr="00674D55">
        <w:rPr>
          <w:rFonts w:ascii="Selawik" w:hAnsi="Selawik" w:cs="Arial"/>
          <w:sz w:val="20"/>
        </w:rPr>
        <w:t>, a nivel nacional,</w:t>
      </w:r>
      <w:r w:rsidR="009D1601" w:rsidRPr="00674D55">
        <w:rPr>
          <w:rFonts w:ascii="Selawik" w:hAnsi="Selawik" w:cs="Arial"/>
          <w:sz w:val="20"/>
        </w:rPr>
        <w:t xml:space="preserve"> asociados a </w:t>
      </w:r>
      <w:r w:rsidRPr="00674D55">
        <w:rPr>
          <w:rFonts w:ascii="Selawik" w:hAnsi="Selawik" w:cs="Arial"/>
          <w:sz w:val="20"/>
        </w:rPr>
        <w:t>cada un</w:t>
      </w:r>
      <w:r w:rsidR="009341C0" w:rsidRPr="00674D55">
        <w:rPr>
          <w:rFonts w:ascii="Selawik" w:hAnsi="Selawik" w:cs="Arial"/>
          <w:sz w:val="20"/>
        </w:rPr>
        <w:t>a</w:t>
      </w:r>
      <w:r w:rsidRPr="00674D55">
        <w:rPr>
          <w:rFonts w:ascii="Selawik" w:hAnsi="Selawik" w:cs="Arial"/>
          <w:sz w:val="20"/>
        </w:rPr>
        <w:t xml:space="preserve"> de las </w:t>
      </w:r>
      <w:r w:rsidR="00D711BE" w:rsidRPr="00674D55">
        <w:rPr>
          <w:rFonts w:ascii="Selawik" w:hAnsi="Selawik" w:cs="Arial"/>
          <w:sz w:val="20"/>
        </w:rPr>
        <w:t>áreas o</w:t>
      </w:r>
      <w:r w:rsidR="000A7862" w:rsidRPr="00674D55">
        <w:rPr>
          <w:rFonts w:ascii="Selawik" w:hAnsi="Selawik" w:cs="Arial"/>
          <w:sz w:val="20"/>
        </w:rPr>
        <w:t xml:space="preserve"> perspectivas </w:t>
      </w:r>
      <w:r w:rsidRPr="00674D55">
        <w:rPr>
          <w:rFonts w:ascii="Selawik" w:hAnsi="Selawik" w:cs="Arial"/>
          <w:sz w:val="20"/>
        </w:rPr>
        <w:t xml:space="preserve">de gestión definidas por la institución: </w:t>
      </w:r>
      <w:r w:rsidRPr="00674D55">
        <w:rPr>
          <w:rFonts w:ascii="Selawik" w:hAnsi="Selawik" w:cs="Arial"/>
          <w:i/>
          <w:sz w:val="20"/>
        </w:rPr>
        <w:t>Atención de Usuarios, Gestión Jurídica y Gestión Apoyo Administrativo</w:t>
      </w:r>
      <w:r w:rsidRPr="00674D55">
        <w:rPr>
          <w:rFonts w:ascii="Selawik" w:hAnsi="Selawik" w:cs="Arial"/>
          <w:sz w:val="20"/>
        </w:rPr>
        <w:t>.</w:t>
      </w:r>
      <w:r w:rsidR="00291F1B" w:rsidRPr="00674D55">
        <w:rPr>
          <w:rFonts w:ascii="Selawik" w:hAnsi="Selawik" w:cs="Arial"/>
          <w:sz w:val="20"/>
        </w:rPr>
        <w:t xml:space="preserve"> Las tablas adjuntas que se presentan por cada una de las </w:t>
      </w:r>
      <w:r w:rsidR="000A7862" w:rsidRPr="00674D55">
        <w:rPr>
          <w:rFonts w:ascii="Selawik" w:hAnsi="Selawik" w:cs="Arial"/>
          <w:sz w:val="20"/>
        </w:rPr>
        <w:t>áreas</w:t>
      </w:r>
      <w:r w:rsidR="00291F1B" w:rsidRPr="00674D55">
        <w:rPr>
          <w:rFonts w:ascii="Selawik" w:hAnsi="Selawik" w:cs="Arial"/>
          <w:sz w:val="20"/>
        </w:rPr>
        <w:t xml:space="preserve"> </w:t>
      </w:r>
      <w:r w:rsidR="009D1601" w:rsidRPr="00674D55">
        <w:rPr>
          <w:rFonts w:ascii="Selawik" w:hAnsi="Selawik" w:cs="Arial"/>
          <w:sz w:val="20"/>
        </w:rPr>
        <w:t>anteriores corresponden al</w:t>
      </w:r>
      <w:r w:rsidR="000A7862" w:rsidRPr="00674D55">
        <w:rPr>
          <w:rFonts w:ascii="Selawik" w:hAnsi="Selawik" w:cs="Arial"/>
          <w:sz w:val="20"/>
        </w:rPr>
        <w:t xml:space="preserve"> estado de avance general para el</w:t>
      </w:r>
      <w:r w:rsidR="00291F1B" w:rsidRPr="00674D55">
        <w:rPr>
          <w:rFonts w:ascii="Selawik" w:hAnsi="Selawik" w:cs="Arial"/>
          <w:sz w:val="20"/>
        </w:rPr>
        <w:t xml:space="preserve"> período correspondiente</w:t>
      </w:r>
      <w:r w:rsidR="009D1601" w:rsidRPr="00674D55">
        <w:rPr>
          <w:rFonts w:ascii="Selawik" w:hAnsi="Selawik" w:cs="Arial"/>
          <w:sz w:val="20"/>
        </w:rPr>
        <w:t xml:space="preserve"> </w:t>
      </w:r>
      <w:r w:rsidR="00D711BE">
        <w:rPr>
          <w:rFonts w:ascii="Selawik" w:hAnsi="Selawik" w:cs="Arial"/>
          <w:sz w:val="20"/>
        </w:rPr>
        <w:t>de</w:t>
      </w:r>
      <w:r w:rsidR="009D1601" w:rsidRPr="00674D55">
        <w:rPr>
          <w:rFonts w:ascii="Selawik" w:hAnsi="Selawik" w:cs="Arial"/>
          <w:sz w:val="20"/>
        </w:rPr>
        <w:t xml:space="preserve"> enero a </w:t>
      </w:r>
      <w:r w:rsidR="00D711BE">
        <w:rPr>
          <w:rFonts w:ascii="Selawik" w:hAnsi="Selawik" w:cs="Arial"/>
          <w:sz w:val="20"/>
        </w:rPr>
        <w:t>septiembre</w:t>
      </w:r>
      <w:r w:rsidR="002F52AF" w:rsidRPr="00674D55">
        <w:rPr>
          <w:rFonts w:ascii="Selawik" w:hAnsi="Selawik" w:cs="Arial"/>
          <w:sz w:val="20"/>
        </w:rPr>
        <w:t xml:space="preserve"> </w:t>
      </w:r>
      <w:r w:rsidR="009D1601" w:rsidRPr="00674D55">
        <w:rPr>
          <w:rFonts w:ascii="Selawik" w:hAnsi="Selawik" w:cs="Arial"/>
          <w:sz w:val="20"/>
        </w:rPr>
        <w:t>del 202</w:t>
      </w:r>
      <w:r w:rsidR="002118C2" w:rsidRPr="00674D55">
        <w:rPr>
          <w:rFonts w:ascii="Selawik" w:hAnsi="Selawik" w:cs="Arial"/>
          <w:sz w:val="20"/>
        </w:rPr>
        <w:t>4</w:t>
      </w:r>
      <w:r w:rsidR="002F52AF" w:rsidRPr="00674D55">
        <w:rPr>
          <w:rFonts w:ascii="Selawik" w:hAnsi="Selawik" w:cs="Arial"/>
          <w:sz w:val="20"/>
        </w:rPr>
        <w:t>.</w:t>
      </w:r>
    </w:p>
    <w:p w14:paraId="5ACBF5DF" w14:textId="77777777" w:rsidR="004C5016" w:rsidRPr="00674D55" w:rsidRDefault="004C5016" w:rsidP="004C5016">
      <w:pPr>
        <w:jc w:val="both"/>
        <w:rPr>
          <w:rFonts w:ascii="Selawik" w:hAnsi="Selawik" w:cs="Arial"/>
          <w:sz w:val="20"/>
        </w:rPr>
      </w:pPr>
    </w:p>
    <w:p w14:paraId="5DA45403" w14:textId="77777777" w:rsidR="004C5016" w:rsidRPr="00674D55" w:rsidRDefault="004C5016" w:rsidP="004C5016">
      <w:pPr>
        <w:ind w:left="550"/>
        <w:jc w:val="both"/>
        <w:rPr>
          <w:rFonts w:ascii="Selawik" w:hAnsi="Selawik" w:cs="Arial"/>
        </w:rPr>
      </w:pPr>
    </w:p>
    <w:p w14:paraId="0437D56E" w14:textId="77777777" w:rsidR="004C5016" w:rsidRPr="00674D55" w:rsidRDefault="004C5016" w:rsidP="004C5016">
      <w:pPr>
        <w:ind w:left="550"/>
        <w:jc w:val="both"/>
        <w:rPr>
          <w:rFonts w:ascii="Selawik" w:hAnsi="Selawik" w:cs="Arial"/>
        </w:rPr>
      </w:pPr>
    </w:p>
    <w:p w14:paraId="6D03845F" w14:textId="77777777" w:rsidR="004C5016" w:rsidRPr="00674D55" w:rsidRDefault="004C5016" w:rsidP="004C5016">
      <w:pPr>
        <w:ind w:left="550"/>
        <w:jc w:val="both"/>
        <w:rPr>
          <w:rFonts w:ascii="Selawik" w:hAnsi="Selawik" w:cs="Arial"/>
        </w:rPr>
      </w:pPr>
    </w:p>
    <w:p w14:paraId="3AFA1F2E" w14:textId="77777777" w:rsidR="004C5016" w:rsidRPr="00674D55" w:rsidRDefault="004C5016" w:rsidP="004C5016">
      <w:pPr>
        <w:ind w:left="550"/>
        <w:jc w:val="both"/>
        <w:rPr>
          <w:rFonts w:ascii="Selawik" w:hAnsi="Selawik" w:cs="Arial"/>
        </w:rPr>
      </w:pPr>
    </w:p>
    <w:p w14:paraId="288B0C7E" w14:textId="77777777" w:rsidR="004C5016" w:rsidRPr="00674D55" w:rsidRDefault="004C5016" w:rsidP="004C5016">
      <w:pPr>
        <w:ind w:left="550"/>
        <w:jc w:val="both"/>
        <w:rPr>
          <w:rFonts w:ascii="Selawik" w:hAnsi="Selawik" w:cs="Arial"/>
        </w:rPr>
      </w:pPr>
    </w:p>
    <w:p w14:paraId="796AFD02" w14:textId="77777777" w:rsidR="004C5016" w:rsidRPr="00674D55" w:rsidRDefault="004C5016" w:rsidP="004C5016">
      <w:pPr>
        <w:ind w:left="550"/>
        <w:jc w:val="both"/>
        <w:rPr>
          <w:rFonts w:ascii="Selawik" w:hAnsi="Selawik" w:cs="Arial"/>
        </w:rPr>
      </w:pPr>
    </w:p>
    <w:p w14:paraId="1879419F" w14:textId="77777777" w:rsidR="009341C0" w:rsidRPr="00674D55" w:rsidRDefault="009341C0" w:rsidP="004C5016">
      <w:pPr>
        <w:ind w:left="550"/>
        <w:jc w:val="both"/>
        <w:rPr>
          <w:rFonts w:ascii="Selawik" w:hAnsi="Selawik" w:cs="Arial"/>
        </w:rPr>
      </w:pPr>
    </w:p>
    <w:p w14:paraId="7ED72908" w14:textId="77777777" w:rsidR="009341C0" w:rsidRPr="00674D55" w:rsidRDefault="009341C0" w:rsidP="004C5016">
      <w:pPr>
        <w:ind w:left="550"/>
        <w:jc w:val="both"/>
        <w:rPr>
          <w:rFonts w:ascii="Selawik" w:hAnsi="Selawik" w:cs="Arial"/>
        </w:rPr>
      </w:pPr>
    </w:p>
    <w:p w14:paraId="1F4E018F" w14:textId="77777777" w:rsidR="004C5016" w:rsidRPr="00674D55" w:rsidRDefault="004C5016" w:rsidP="004C5016">
      <w:pPr>
        <w:ind w:left="550"/>
        <w:jc w:val="both"/>
        <w:rPr>
          <w:rFonts w:ascii="Selawik" w:hAnsi="Selawik" w:cs="Arial"/>
        </w:rPr>
      </w:pPr>
    </w:p>
    <w:p w14:paraId="0E9E82ED" w14:textId="77777777" w:rsidR="001C1DC3" w:rsidRPr="00674D55" w:rsidRDefault="001C1DC3" w:rsidP="004C5016">
      <w:pPr>
        <w:ind w:left="550"/>
        <w:jc w:val="both"/>
        <w:rPr>
          <w:rFonts w:ascii="Selawik" w:hAnsi="Selawik" w:cs="Arial"/>
        </w:rPr>
      </w:pPr>
    </w:p>
    <w:p w14:paraId="72116582" w14:textId="77777777" w:rsidR="001C1DC3" w:rsidRPr="00674D55" w:rsidRDefault="001C1DC3" w:rsidP="004C5016">
      <w:pPr>
        <w:ind w:left="550"/>
        <w:jc w:val="both"/>
        <w:rPr>
          <w:rFonts w:ascii="Selawik" w:hAnsi="Selawik" w:cs="Arial"/>
        </w:rPr>
      </w:pPr>
    </w:p>
    <w:p w14:paraId="20701AE6" w14:textId="77777777" w:rsidR="004C5016" w:rsidRPr="00674D55" w:rsidRDefault="004C5016" w:rsidP="004C5016">
      <w:pPr>
        <w:ind w:left="550"/>
        <w:jc w:val="both"/>
        <w:rPr>
          <w:rFonts w:ascii="Selawik" w:hAnsi="Selawik" w:cs="Arial"/>
        </w:rPr>
      </w:pPr>
    </w:p>
    <w:p w14:paraId="07C4A7F9" w14:textId="77777777" w:rsidR="000D2E75" w:rsidRPr="00674D55" w:rsidRDefault="000D2E75" w:rsidP="004C5016">
      <w:pPr>
        <w:ind w:left="550"/>
        <w:jc w:val="both"/>
        <w:rPr>
          <w:rFonts w:ascii="Selawik" w:hAnsi="Selawik" w:cs="Arial"/>
        </w:rPr>
      </w:pPr>
    </w:p>
    <w:p w14:paraId="1E6CBAB3" w14:textId="77777777" w:rsidR="000D2E75" w:rsidRPr="00674D55" w:rsidRDefault="000D2E75" w:rsidP="004C5016">
      <w:pPr>
        <w:ind w:left="550"/>
        <w:jc w:val="both"/>
        <w:rPr>
          <w:rFonts w:ascii="Selawik" w:hAnsi="Selawik" w:cs="Arial"/>
        </w:rPr>
      </w:pPr>
    </w:p>
    <w:p w14:paraId="4C432431" w14:textId="77777777" w:rsidR="000D2E75" w:rsidRPr="00674D55" w:rsidRDefault="000D2E75" w:rsidP="004C5016">
      <w:pPr>
        <w:ind w:left="550"/>
        <w:jc w:val="both"/>
        <w:rPr>
          <w:rFonts w:ascii="Selawik" w:hAnsi="Selawik" w:cs="Arial"/>
        </w:rPr>
      </w:pPr>
    </w:p>
    <w:p w14:paraId="46D04A5C" w14:textId="77777777" w:rsidR="000D2E75" w:rsidRPr="00674D55" w:rsidRDefault="000D2E75" w:rsidP="004C5016">
      <w:pPr>
        <w:ind w:left="550"/>
        <w:jc w:val="both"/>
        <w:rPr>
          <w:rFonts w:ascii="Selawik" w:hAnsi="Selawik" w:cs="Arial"/>
        </w:rPr>
      </w:pPr>
    </w:p>
    <w:p w14:paraId="3FC18E1A" w14:textId="77777777" w:rsidR="000D2E75" w:rsidRPr="00674D55" w:rsidRDefault="000D2E75" w:rsidP="004C5016">
      <w:pPr>
        <w:ind w:left="550"/>
        <w:jc w:val="both"/>
        <w:rPr>
          <w:rFonts w:ascii="Selawik" w:hAnsi="Selawik" w:cs="Arial"/>
        </w:rPr>
      </w:pPr>
    </w:p>
    <w:p w14:paraId="7F755DBF" w14:textId="77777777" w:rsidR="000D2E75" w:rsidRPr="00674D55" w:rsidRDefault="000D2E75" w:rsidP="004C5016">
      <w:pPr>
        <w:ind w:left="550"/>
        <w:jc w:val="both"/>
        <w:rPr>
          <w:rFonts w:ascii="Selawik" w:hAnsi="Selawik" w:cs="Arial"/>
        </w:rPr>
      </w:pPr>
    </w:p>
    <w:p w14:paraId="549A7494" w14:textId="77777777" w:rsidR="000D2E75" w:rsidRPr="00674D55" w:rsidRDefault="000D2E75" w:rsidP="004C5016">
      <w:pPr>
        <w:ind w:left="550"/>
        <w:jc w:val="both"/>
        <w:rPr>
          <w:rFonts w:ascii="Selawik" w:hAnsi="Selawik" w:cs="Arial"/>
        </w:rPr>
      </w:pPr>
    </w:p>
    <w:p w14:paraId="447725E9" w14:textId="77777777" w:rsidR="000D2E75" w:rsidRPr="00674D55" w:rsidRDefault="000D2E75" w:rsidP="004C5016">
      <w:pPr>
        <w:ind w:left="550"/>
        <w:jc w:val="both"/>
        <w:rPr>
          <w:rFonts w:ascii="Selawik" w:hAnsi="Selawik" w:cs="Arial"/>
        </w:rPr>
      </w:pPr>
    </w:p>
    <w:p w14:paraId="29F634D0" w14:textId="77777777" w:rsidR="000D2E75" w:rsidRPr="00674D55" w:rsidRDefault="000D2E75" w:rsidP="004C5016">
      <w:pPr>
        <w:ind w:left="550"/>
        <w:jc w:val="both"/>
        <w:rPr>
          <w:rFonts w:ascii="Selawik" w:hAnsi="Selawik" w:cs="Arial"/>
        </w:rPr>
      </w:pPr>
    </w:p>
    <w:p w14:paraId="6554C8E1" w14:textId="77777777" w:rsidR="00EB4715" w:rsidRPr="00674D55" w:rsidRDefault="00EB4715" w:rsidP="004C5016">
      <w:pPr>
        <w:ind w:left="550"/>
        <w:jc w:val="both"/>
        <w:rPr>
          <w:rFonts w:ascii="Selawik" w:hAnsi="Selawik" w:cs="Arial"/>
        </w:rPr>
      </w:pPr>
    </w:p>
    <w:p w14:paraId="4876E240" w14:textId="77777777" w:rsidR="004C5016" w:rsidRPr="00674D55" w:rsidRDefault="004C5016" w:rsidP="004C5016">
      <w:pPr>
        <w:shd w:val="clear" w:color="auto" w:fill="8DB3E2" w:themeFill="text2" w:themeFillTint="66"/>
        <w:rPr>
          <w:rFonts w:ascii="Selawik" w:hAnsi="Selawik" w:cs="Arial"/>
          <w:b/>
          <w:color w:val="FFFFFF" w:themeColor="background1"/>
          <w:sz w:val="22"/>
        </w:rPr>
      </w:pPr>
      <w:r w:rsidRPr="00674D55">
        <w:rPr>
          <w:rFonts w:ascii="Selawik" w:hAnsi="Selawik" w:cs="Arial"/>
          <w:b/>
          <w:color w:val="FFFFFF" w:themeColor="background1"/>
          <w:sz w:val="28"/>
          <w:szCs w:val="28"/>
        </w:rPr>
        <w:lastRenderedPageBreak/>
        <w:t xml:space="preserve">PERSPECTIVA:   ATENCIÓN DE USUARIOS                                                                 </w:t>
      </w:r>
    </w:p>
    <w:p w14:paraId="13D29967" w14:textId="77777777" w:rsidR="004C5016" w:rsidRPr="00674D55" w:rsidRDefault="004C5016" w:rsidP="004C5016">
      <w:pPr>
        <w:spacing w:line="228" w:lineRule="auto"/>
        <w:rPr>
          <w:rFonts w:ascii="Selawik" w:hAnsi="Selawik" w:cs="Arial"/>
          <w:b/>
          <w:sz w:val="22"/>
        </w:rPr>
      </w:pPr>
    </w:p>
    <w:p w14:paraId="5685BE0C" w14:textId="7F5067F8" w:rsidR="004C5016" w:rsidRPr="00674D55" w:rsidRDefault="004C5016" w:rsidP="004C5016">
      <w:pPr>
        <w:jc w:val="both"/>
        <w:rPr>
          <w:rFonts w:ascii="Selawik" w:hAnsi="Selawik" w:cs="Arial"/>
          <w:sz w:val="22"/>
        </w:rPr>
      </w:pPr>
      <w:r w:rsidRPr="00674D55">
        <w:rPr>
          <w:rFonts w:ascii="Selawik" w:hAnsi="Selawik" w:cs="Arial"/>
          <w:b/>
          <w:sz w:val="20"/>
        </w:rPr>
        <w:t xml:space="preserve">OBJETIVO ESTRATÉGICO VINCULADO: </w:t>
      </w:r>
      <w:r w:rsidRPr="00674D55">
        <w:rPr>
          <w:rFonts w:ascii="Selawik" w:hAnsi="Selawik" w:cs="Arial"/>
          <w:sz w:val="20"/>
        </w:rPr>
        <w:t>Otorgar un servicio de calidad a nuestros usuarios para dar cumplimiento a la misión institucional y consolidar un sistema de relación permanente con énfasis en las víctimas y testigos.</w:t>
      </w:r>
    </w:p>
    <w:p w14:paraId="63D8C1C7" w14:textId="77777777" w:rsidR="004C5016" w:rsidRPr="00674D55" w:rsidRDefault="004C5016" w:rsidP="004C5016">
      <w:pPr>
        <w:rPr>
          <w:rFonts w:ascii="Selawik" w:hAnsi="Selawik" w:cs="Arial"/>
        </w:rPr>
      </w:pPr>
    </w:p>
    <w:tbl>
      <w:tblPr>
        <w:tblW w:w="9752" w:type="dxa"/>
        <w:tblInd w:w="-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020" w:firstRow="1" w:lastRow="0" w:firstColumn="0" w:lastColumn="0" w:noHBand="0" w:noVBand="0"/>
      </w:tblPr>
      <w:tblGrid>
        <w:gridCol w:w="2268"/>
        <w:gridCol w:w="4253"/>
        <w:gridCol w:w="992"/>
        <w:gridCol w:w="992"/>
        <w:gridCol w:w="1247"/>
      </w:tblGrid>
      <w:tr w:rsidR="001C1DC3" w:rsidRPr="00674D55" w14:paraId="09BC75B7" w14:textId="77777777" w:rsidTr="00D711BE">
        <w:trPr>
          <w:trHeight w:val="492"/>
          <w:tblHeader/>
        </w:trPr>
        <w:tc>
          <w:tcPr>
            <w:tcW w:w="2268" w:type="dxa"/>
            <w:shd w:val="clear" w:color="auto" w:fill="548DD4"/>
            <w:vAlign w:val="center"/>
          </w:tcPr>
          <w:p w14:paraId="0D8ECCF5" w14:textId="77777777" w:rsidR="004C5016" w:rsidRPr="00674D55" w:rsidRDefault="004C5016" w:rsidP="00B6712C">
            <w:pPr>
              <w:jc w:val="center"/>
              <w:rPr>
                <w:rFonts w:ascii="Selawik" w:hAnsi="Selawik" w:cs="Arial"/>
                <w:b/>
                <w:color w:val="FFFFFF"/>
                <w:sz w:val="12"/>
                <w:szCs w:val="18"/>
              </w:rPr>
            </w:pPr>
            <w:r w:rsidRPr="00674D55">
              <w:rPr>
                <w:rFonts w:ascii="Selawik" w:hAnsi="Selawik" w:cs="Arial"/>
                <w:b/>
                <w:color w:val="FFFFFF"/>
                <w:sz w:val="12"/>
                <w:szCs w:val="18"/>
              </w:rPr>
              <w:t>INDICADOR</w:t>
            </w:r>
          </w:p>
        </w:tc>
        <w:tc>
          <w:tcPr>
            <w:tcW w:w="4253" w:type="dxa"/>
            <w:shd w:val="clear" w:color="auto" w:fill="548DD4"/>
            <w:vAlign w:val="center"/>
          </w:tcPr>
          <w:p w14:paraId="3A59886E" w14:textId="77777777" w:rsidR="004C5016" w:rsidRPr="00674D55" w:rsidRDefault="004C5016" w:rsidP="00B6712C">
            <w:pPr>
              <w:jc w:val="center"/>
              <w:rPr>
                <w:rFonts w:ascii="Selawik" w:hAnsi="Selawik" w:cs="Arial"/>
                <w:b/>
                <w:color w:val="FFFFFF"/>
                <w:sz w:val="12"/>
                <w:szCs w:val="18"/>
              </w:rPr>
            </w:pPr>
            <w:r w:rsidRPr="00674D55">
              <w:rPr>
                <w:rFonts w:ascii="Selawik" w:hAnsi="Selawik" w:cs="Arial"/>
                <w:b/>
                <w:color w:val="FFFFFF"/>
                <w:sz w:val="12"/>
                <w:szCs w:val="18"/>
              </w:rPr>
              <w:t>DESCRIPCIÓN</w:t>
            </w:r>
          </w:p>
        </w:tc>
        <w:tc>
          <w:tcPr>
            <w:tcW w:w="992" w:type="dxa"/>
            <w:shd w:val="clear" w:color="auto" w:fill="548DD4"/>
            <w:vAlign w:val="center"/>
          </w:tcPr>
          <w:p w14:paraId="17D3AAFF" w14:textId="028397D8" w:rsidR="004C5016" w:rsidRPr="001A3E0A" w:rsidRDefault="001A3E0A" w:rsidP="00B6712C">
            <w:pPr>
              <w:jc w:val="center"/>
              <w:rPr>
                <w:rFonts w:ascii="Selawik" w:hAnsi="Selawik" w:cs="Arial"/>
                <w:b/>
                <w:bCs/>
                <w:color w:val="FFFFFF"/>
                <w:sz w:val="12"/>
                <w:szCs w:val="18"/>
              </w:rPr>
            </w:pPr>
            <w:r w:rsidRPr="001A3E0A">
              <w:rPr>
                <w:rFonts w:ascii="Selawik" w:hAnsi="Selawik" w:cs="Arial"/>
                <w:b/>
                <w:bCs/>
                <w:color w:val="FFFFFF"/>
                <w:sz w:val="12"/>
                <w:szCs w:val="18"/>
              </w:rPr>
              <w:t>META ANUAL</w:t>
            </w:r>
          </w:p>
        </w:tc>
        <w:tc>
          <w:tcPr>
            <w:tcW w:w="992" w:type="dxa"/>
            <w:shd w:val="clear" w:color="auto" w:fill="548DD4"/>
            <w:vAlign w:val="center"/>
          </w:tcPr>
          <w:p w14:paraId="2E53B39B" w14:textId="77777777" w:rsidR="004C5016" w:rsidRPr="00674D55" w:rsidRDefault="004C5016" w:rsidP="00B6712C">
            <w:pPr>
              <w:jc w:val="center"/>
              <w:rPr>
                <w:rFonts w:ascii="Selawik" w:hAnsi="Selawik" w:cs="Arial"/>
                <w:b/>
                <w:color w:val="FFFFFF"/>
                <w:sz w:val="12"/>
                <w:szCs w:val="18"/>
              </w:rPr>
            </w:pPr>
            <w:r w:rsidRPr="00674D55">
              <w:rPr>
                <w:rFonts w:ascii="Selawik" w:hAnsi="Selawik" w:cs="Arial"/>
                <w:b/>
                <w:color w:val="FFFFFF"/>
                <w:sz w:val="12"/>
                <w:szCs w:val="18"/>
              </w:rPr>
              <w:t>RESULTADO EFECTIVO</w:t>
            </w:r>
          </w:p>
        </w:tc>
        <w:tc>
          <w:tcPr>
            <w:tcW w:w="1247" w:type="dxa"/>
            <w:shd w:val="clear" w:color="auto" w:fill="548DD4"/>
            <w:vAlign w:val="center"/>
          </w:tcPr>
          <w:p w14:paraId="5C1E1946" w14:textId="77777777" w:rsidR="004C5016" w:rsidRPr="00674D55" w:rsidRDefault="004C5016" w:rsidP="00B6712C">
            <w:pPr>
              <w:jc w:val="center"/>
              <w:rPr>
                <w:rFonts w:ascii="Selawik" w:hAnsi="Selawik" w:cs="Arial"/>
                <w:b/>
                <w:color w:val="FFFFFF"/>
                <w:sz w:val="12"/>
                <w:szCs w:val="18"/>
              </w:rPr>
            </w:pPr>
            <w:r w:rsidRPr="00674D55">
              <w:rPr>
                <w:rFonts w:ascii="Selawik" w:hAnsi="Selawik" w:cs="Arial"/>
                <w:b/>
                <w:color w:val="FFFFFF"/>
                <w:sz w:val="12"/>
                <w:szCs w:val="18"/>
              </w:rPr>
              <w:t>INDICE DE CUMPLIMIENTO</w:t>
            </w:r>
          </w:p>
        </w:tc>
      </w:tr>
      <w:tr w:rsidR="001B5630" w:rsidRPr="00674D55" w14:paraId="63CE123A" w14:textId="77777777" w:rsidTr="00D711BE">
        <w:trPr>
          <w:trHeight w:val="1255"/>
        </w:trPr>
        <w:tc>
          <w:tcPr>
            <w:tcW w:w="2268" w:type="dxa"/>
            <w:vAlign w:val="center"/>
          </w:tcPr>
          <w:p w14:paraId="1DFC9472" w14:textId="15D07F80" w:rsidR="001B5630" w:rsidRPr="00062486" w:rsidRDefault="00AD2DDC" w:rsidP="00DB72A2">
            <w:pPr>
              <w:pStyle w:val="Prrafodelista"/>
              <w:numPr>
                <w:ilvl w:val="0"/>
                <w:numId w:val="1"/>
              </w:numPr>
              <w:spacing w:after="0" w:line="240" w:lineRule="auto"/>
              <w:rPr>
                <w:rFonts w:ascii="Selawik" w:hAnsi="Selawik"/>
                <w:b/>
                <w:color w:val="000000" w:themeColor="text1"/>
                <w:sz w:val="16"/>
                <w:szCs w:val="16"/>
              </w:rPr>
            </w:pPr>
            <w:r w:rsidRPr="00062486">
              <w:rPr>
                <w:rFonts w:ascii="Selawik" w:hAnsi="Selawik"/>
                <w:b/>
                <w:color w:val="000000" w:themeColor="text1"/>
                <w:sz w:val="16"/>
                <w:szCs w:val="16"/>
              </w:rPr>
              <w:t>Cobertura de aplicación de pauta</w:t>
            </w:r>
          </w:p>
        </w:tc>
        <w:tc>
          <w:tcPr>
            <w:tcW w:w="4253" w:type="dxa"/>
            <w:vAlign w:val="center"/>
          </w:tcPr>
          <w:p w14:paraId="7DD79E45" w14:textId="04EAEB39" w:rsidR="001B5630" w:rsidRPr="00062486" w:rsidRDefault="00AD2DDC" w:rsidP="00DB72A2">
            <w:pPr>
              <w:rPr>
                <w:rFonts w:ascii="Selawik" w:hAnsi="Selawik" w:cs="Arial"/>
                <w:color w:val="000000" w:themeColor="text1"/>
                <w:sz w:val="16"/>
                <w:szCs w:val="16"/>
              </w:rPr>
            </w:pPr>
            <w:r w:rsidRPr="00062486">
              <w:rPr>
                <w:rFonts w:ascii="Selawik" w:hAnsi="Selawik" w:cs="Arial"/>
                <w:color w:val="000000" w:themeColor="text1"/>
                <w:sz w:val="16"/>
                <w:szCs w:val="16"/>
              </w:rPr>
              <w:t>(Número de Víctimas VIF ingresadas por un PP, DD o flagrancia con audiencia de control de detención (ACD), en que se aplicó Pauta de Evaluación de Riesgo) / (Total de víctimas VIF ingresadas por PP, DD o flagrancia con audiencia de control de detención (ACD)) * 100</w:t>
            </w:r>
          </w:p>
        </w:tc>
        <w:tc>
          <w:tcPr>
            <w:tcW w:w="992" w:type="dxa"/>
            <w:vAlign w:val="center"/>
          </w:tcPr>
          <w:p w14:paraId="53DFBA7F" w14:textId="43B68D49" w:rsidR="001B5630" w:rsidRPr="00062486" w:rsidRDefault="00AD2DDC" w:rsidP="00DB72A2">
            <w:pPr>
              <w:jc w:val="center"/>
              <w:rPr>
                <w:rFonts w:ascii="Selawik" w:hAnsi="Selawik"/>
                <w:bCs/>
                <w:color w:val="000000" w:themeColor="text1"/>
                <w:sz w:val="16"/>
                <w:szCs w:val="16"/>
              </w:rPr>
            </w:pPr>
            <w:r w:rsidRPr="00062486">
              <w:rPr>
                <w:rFonts w:ascii="Selawik" w:hAnsi="Selawik"/>
                <w:bCs/>
                <w:color w:val="000000" w:themeColor="text1"/>
                <w:sz w:val="16"/>
                <w:szCs w:val="16"/>
              </w:rPr>
              <w:t>&gt;= 80%</w:t>
            </w:r>
          </w:p>
        </w:tc>
        <w:tc>
          <w:tcPr>
            <w:tcW w:w="992" w:type="dxa"/>
            <w:shd w:val="clear" w:color="auto" w:fill="auto"/>
            <w:vAlign w:val="center"/>
          </w:tcPr>
          <w:p w14:paraId="490276AC" w14:textId="5FC37F59" w:rsidR="001B5630"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83.</w:t>
            </w:r>
            <w:r w:rsidR="00DD0863" w:rsidRPr="00C8158E">
              <w:rPr>
                <w:rFonts w:ascii="Selawik" w:hAnsi="Selawik" w:cs="Arial"/>
                <w:color w:val="000000" w:themeColor="text1"/>
                <w:sz w:val="16"/>
                <w:szCs w:val="16"/>
              </w:rPr>
              <w:t>8</w:t>
            </w:r>
            <w:r w:rsidR="00E43F2C" w:rsidRPr="00C8158E">
              <w:rPr>
                <w:rFonts w:ascii="Selawik" w:hAnsi="Selawik" w:cs="Arial"/>
                <w:color w:val="000000" w:themeColor="text1"/>
                <w:sz w:val="16"/>
                <w:szCs w:val="16"/>
              </w:rPr>
              <w:t>%</w:t>
            </w:r>
          </w:p>
        </w:tc>
        <w:tc>
          <w:tcPr>
            <w:tcW w:w="1247" w:type="dxa"/>
            <w:vAlign w:val="center"/>
          </w:tcPr>
          <w:p w14:paraId="7E8F8AD5" w14:textId="0377A504" w:rsidR="001B5630"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104.</w:t>
            </w:r>
            <w:r w:rsidR="00C8158E" w:rsidRPr="00C8158E">
              <w:rPr>
                <w:rFonts w:ascii="Selawik" w:hAnsi="Selawik" w:cs="Arial"/>
                <w:color w:val="000000" w:themeColor="text1"/>
                <w:sz w:val="16"/>
                <w:szCs w:val="16"/>
              </w:rPr>
              <w:t>8</w:t>
            </w:r>
            <w:r w:rsidR="00BF69B8" w:rsidRPr="00C8158E">
              <w:rPr>
                <w:rFonts w:ascii="Selawik" w:hAnsi="Selawik" w:cs="Arial"/>
                <w:color w:val="000000" w:themeColor="text1"/>
                <w:sz w:val="16"/>
                <w:szCs w:val="16"/>
              </w:rPr>
              <w:t>%</w:t>
            </w:r>
          </w:p>
        </w:tc>
      </w:tr>
      <w:tr w:rsidR="00AD2DDC" w:rsidRPr="00674D55" w14:paraId="1EA901EB" w14:textId="77777777" w:rsidTr="00D711BE">
        <w:trPr>
          <w:trHeight w:val="1415"/>
        </w:trPr>
        <w:tc>
          <w:tcPr>
            <w:tcW w:w="2268" w:type="dxa"/>
            <w:vAlign w:val="center"/>
          </w:tcPr>
          <w:p w14:paraId="31ABF824" w14:textId="287C2BF0" w:rsidR="00AD2DDC" w:rsidRPr="00062486" w:rsidRDefault="00AD2DDC" w:rsidP="00DB72A2">
            <w:pPr>
              <w:pStyle w:val="Prrafodelista"/>
              <w:numPr>
                <w:ilvl w:val="0"/>
                <w:numId w:val="1"/>
              </w:numPr>
              <w:spacing w:after="0" w:line="240" w:lineRule="auto"/>
              <w:rPr>
                <w:rFonts w:ascii="Selawik" w:hAnsi="Selawik"/>
                <w:b/>
                <w:color w:val="000000" w:themeColor="text1"/>
                <w:sz w:val="16"/>
                <w:szCs w:val="16"/>
              </w:rPr>
            </w:pPr>
            <w:r w:rsidRPr="00062486">
              <w:rPr>
                <w:rFonts w:ascii="Selawik" w:hAnsi="Selawik"/>
                <w:b/>
                <w:color w:val="000000" w:themeColor="text1"/>
                <w:sz w:val="16"/>
                <w:szCs w:val="16"/>
              </w:rPr>
              <w:t>Medida protección dentro de plazo VIF</w:t>
            </w:r>
          </w:p>
        </w:tc>
        <w:tc>
          <w:tcPr>
            <w:tcW w:w="4253" w:type="dxa"/>
            <w:vAlign w:val="center"/>
          </w:tcPr>
          <w:p w14:paraId="2D5B4F47" w14:textId="3077EF0E" w:rsidR="00AD2DDC" w:rsidRPr="00062486" w:rsidRDefault="00AD2DDC" w:rsidP="00DB72A2">
            <w:pPr>
              <w:rPr>
                <w:rFonts w:ascii="Selawik" w:hAnsi="Selawik" w:cs="Arial"/>
                <w:color w:val="000000" w:themeColor="text1"/>
                <w:sz w:val="16"/>
                <w:szCs w:val="16"/>
              </w:rPr>
            </w:pPr>
            <w:r w:rsidRPr="00062486">
              <w:rPr>
                <w:rFonts w:ascii="Selawik" w:hAnsi="Selawik" w:cs="Arial"/>
                <w:color w:val="000000" w:themeColor="text1"/>
                <w:sz w:val="16"/>
                <w:szCs w:val="16"/>
              </w:rPr>
              <w:t>(Número de Víctimas VIF ingresadas por un PP o DD, evaluadas con riesgo medio o alto, en que se otorgó alguna medida de protección dentro del plazo definido por el modelo) / (Total de Víctimas VIF ingresadas por un PP o DD evaluadas con riesgo medio o alto en el año t) * 100</w:t>
            </w:r>
          </w:p>
        </w:tc>
        <w:tc>
          <w:tcPr>
            <w:tcW w:w="992" w:type="dxa"/>
            <w:vAlign w:val="center"/>
          </w:tcPr>
          <w:p w14:paraId="22FD143C" w14:textId="424FC92F" w:rsidR="00AD2DDC" w:rsidRPr="00062486" w:rsidRDefault="00AD2DDC" w:rsidP="00DB72A2">
            <w:pPr>
              <w:jc w:val="center"/>
              <w:rPr>
                <w:rFonts w:ascii="Selawik" w:hAnsi="Selawik"/>
                <w:bCs/>
                <w:color w:val="000000" w:themeColor="text1"/>
                <w:sz w:val="16"/>
                <w:szCs w:val="16"/>
              </w:rPr>
            </w:pPr>
            <w:r w:rsidRPr="00062486">
              <w:rPr>
                <w:rFonts w:ascii="Selawik" w:hAnsi="Selawik"/>
                <w:bCs/>
                <w:color w:val="000000" w:themeColor="text1"/>
                <w:sz w:val="16"/>
                <w:szCs w:val="16"/>
              </w:rPr>
              <w:t>&gt;= 90%</w:t>
            </w:r>
          </w:p>
        </w:tc>
        <w:tc>
          <w:tcPr>
            <w:tcW w:w="992" w:type="dxa"/>
            <w:shd w:val="clear" w:color="auto" w:fill="auto"/>
            <w:vAlign w:val="center"/>
          </w:tcPr>
          <w:p w14:paraId="61FE1989" w14:textId="0407064A" w:rsidR="00AD2DDC" w:rsidRPr="00C8158E" w:rsidRDefault="00DD0863" w:rsidP="00DB72A2">
            <w:pPr>
              <w:jc w:val="center"/>
              <w:rPr>
                <w:rFonts w:ascii="Selawik" w:hAnsi="Selawik" w:cs="Arial"/>
                <w:bCs/>
                <w:color w:val="000000" w:themeColor="text1"/>
                <w:sz w:val="16"/>
                <w:szCs w:val="16"/>
              </w:rPr>
            </w:pPr>
            <w:r w:rsidRPr="00C8158E">
              <w:rPr>
                <w:rFonts w:ascii="Selawik" w:hAnsi="Selawik" w:cs="Arial"/>
                <w:bCs/>
                <w:color w:val="000000" w:themeColor="text1"/>
                <w:sz w:val="16"/>
                <w:szCs w:val="16"/>
              </w:rPr>
              <w:t>94.7</w:t>
            </w:r>
            <w:r w:rsidR="00E43F2C" w:rsidRPr="00C8158E">
              <w:rPr>
                <w:rFonts w:ascii="Selawik" w:hAnsi="Selawik" w:cs="Arial"/>
                <w:bCs/>
                <w:color w:val="000000" w:themeColor="text1"/>
                <w:sz w:val="16"/>
                <w:szCs w:val="16"/>
              </w:rPr>
              <w:t>%</w:t>
            </w:r>
          </w:p>
        </w:tc>
        <w:tc>
          <w:tcPr>
            <w:tcW w:w="1247" w:type="dxa"/>
            <w:vAlign w:val="center"/>
          </w:tcPr>
          <w:p w14:paraId="6C269181" w14:textId="7F9A22D9"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10</w:t>
            </w:r>
            <w:r w:rsidR="00C8158E" w:rsidRPr="00C8158E">
              <w:rPr>
                <w:rFonts w:ascii="Selawik" w:hAnsi="Selawik" w:cs="Arial"/>
                <w:color w:val="000000" w:themeColor="text1"/>
                <w:sz w:val="16"/>
                <w:szCs w:val="16"/>
              </w:rPr>
              <w:t>5</w:t>
            </w:r>
            <w:r w:rsidRPr="00C8158E">
              <w:rPr>
                <w:rFonts w:ascii="Selawik" w:hAnsi="Selawik" w:cs="Arial"/>
                <w:color w:val="000000" w:themeColor="text1"/>
                <w:sz w:val="16"/>
                <w:szCs w:val="16"/>
              </w:rPr>
              <w:t>.</w:t>
            </w:r>
            <w:r w:rsidR="00C8158E" w:rsidRPr="00C8158E">
              <w:rPr>
                <w:rFonts w:ascii="Selawik" w:hAnsi="Selawik" w:cs="Arial"/>
                <w:color w:val="000000" w:themeColor="text1"/>
                <w:sz w:val="16"/>
                <w:szCs w:val="16"/>
              </w:rPr>
              <w:t>2</w:t>
            </w:r>
            <w:r w:rsidR="00BF69B8" w:rsidRPr="00C8158E">
              <w:rPr>
                <w:rFonts w:ascii="Selawik" w:hAnsi="Selawik" w:cs="Arial"/>
                <w:color w:val="000000" w:themeColor="text1"/>
                <w:sz w:val="16"/>
                <w:szCs w:val="16"/>
              </w:rPr>
              <w:t>%</w:t>
            </w:r>
          </w:p>
        </w:tc>
      </w:tr>
      <w:tr w:rsidR="00AD2DDC" w:rsidRPr="00674D55" w14:paraId="64B3B66C" w14:textId="77777777" w:rsidTr="00D711BE">
        <w:trPr>
          <w:trHeight w:val="1691"/>
        </w:trPr>
        <w:tc>
          <w:tcPr>
            <w:tcW w:w="2268" w:type="dxa"/>
            <w:vAlign w:val="center"/>
          </w:tcPr>
          <w:p w14:paraId="7068E703" w14:textId="77777777" w:rsidR="00AD2DDC" w:rsidRPr="00062486" w:rsidRDefault="00AD2DDC" w:rsidP="00DB72A2">
            <w:pPr>
              <w:pStyle w:val="Prrafodelista"/>
              <w:numPr>
                <w:ilvl w:val="0"/>
                <w:numId w:val="1"/>
              </w:numPr>
              <w:spacing w:after="0" w:line="240" w:lineRule="auto"/>
              <w:rPr>
                <w:rFonts w:ascii="Selawik" w:hAnsi="Selawik"/>
                <w:b/>
                <w:color w:val="000000" w:themeColor="text1"/>
                <w:sz w:val="16"/>
                <w:szCs w:val="16"/>
              </w:rPr>
            </w:pPr>
            <w:r w:rsidRPr="00062486">
              <w:rPr>
                <w:rFonts w:ascii="Selawik" w:hAnsi="Selawik"/>
                <w:b/>
                <w:color w:val="000000" w:themeColor="text1"/>
                <w:sz w:val="16"/>
                <w:szCs w:val="16"/>
              </w:rPr>
              <w:t>Requerimientos SIAU presenciales y WEB respondidos dentro de plazo</w:t>
            </w:r>
          </w:p>
        </w:tc>
        <w:tc>
          <w:tcPr>
            <w:tcW w:w="4253" w:type="dxa"/>
            <w:vAlign w:val="center"/>
          </w:tcPr>
          <w:p w14:paraId="03735B86" w14:textId="4A8CEAF5" w:rsidR="00AD2DDC" w:rsidRPr="00062486" w:rsidRDefault="00AD2DDC" w:rsidP="00DB72A2">
            <w:pPr>
              <w:rPr>
                <w:rFonts w:ascii="Selawik" w:hAnsi="Selawik" w:cs="Arial"/>
                <w:color w:val="000000" w:themeColor="text1"/>
                <w:sz w:val="16"/>
                <w:szCs w:val="16"/>
              </w:rPr>
            </w:pPr>
            <w:r w:rsidRPr="00062486">
              <w:rPr>
                <w:rFonts w:ascii="Selawik" w:hAnsi="Selawik" w:cs="Arial"/>
                <w:color w:val="000000" w:themeColor="text1"/>
                <w:sz w:val="16"/>
                <w:szCs w:val="16"/>
              </w:rPr>
              <w:t>(Número de solicitudes ingresadas en el año t por los espacios de atención presencial y web del SIAU que requieren evaluación interna respondidas al usuario dentro del plazo establecido desde su fecha de ingreso) / (Número total de solicitudes ingresadas en el año t por los espacios de atención presencial y web del SIAU que requieren evaluación interna) * 100</w:t>
            </w:r>
          </w:p>
        </w:tc>
        <w:tc>
          <w:tcPr>
            <w:tcW w:w="992" w:type="dxa"/>
            <w:vAlign w:val="center"/>
          </w:tcPr>
          <w:p w14:paraId="7B8AD9D9" w14:textId="68B6AA97" w:rsidR="00AD2DDC" w:rsidRPr="00062486" w:rsidRDefault="00AD2DDC" w:rsidP="00DB72A2">
            <w:pPr>
              <w:jc w:val="center"/>
              <w:rPr>
                <w:rFonts w:ascii="Selawik" w:hAnsi="Selawik"/>
                <w:bCs/>
                <w:color w:val="000000" w:themeColor="text1"/>
                <w:sz w:val="16"/>
                <w:szCs w:val="16"/>
              </w:rPr>
            </w:pPr>
            <w:r w:rsidRPr="00062486">
              <w:rPr>
                <w:rFonts w:ascii="Selawik" w:hAnsi="Selawik"/>
                <w:bCs/>
                <w:color w:val="000000" w:themeColor="text1"/>
                <w:sz w:val="16"/>
                <w:szCs w:val="16"/>
              </w:rPr>
              <w:t>&gt;= 92%</w:t>
            </w:r>
          </w:p>
        </w:tc>
        <w:tc>
          <w:tcPr>
            <w:tcW w:w="992" w:type="dxa"/>
            <w:shd w:val="clear" w:color="auto" w:fill="auto"/>
            <w:vAlign w:val="center"/>
          </w:tcPr>
          <w:p w14:paraId="18D4668D" w14:textId="1C88E781"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95.6</w:t>
            </w:r>
            <w:r w:rsidR="00E43F2C" w:rsidRPr="00C8158E">
              <w:rPr>
                <w:rFonts w:ascii="Selawik" w:hAnsi="Selawik" w:cs="Arial"/>
                <w:color w:val="000000" w:themeColor="text1"/>
                <w:sz w:val="16"/>
                <w:szCs w:val="16"/>
              </w:rPr>
              <w:t>%</w:t>
            </w:r>
          </w:p>
        </w:tc>
        <w:tc>
          <w:tcPr>
            <w:tcW w:w="1247" w:type="dxa"/>
            <w:vAlign w:val="center"/>
          </w:tcPr>
          <w:p w14:paraId="276EE77F" w14:textId="3A9808CA"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103.9</w:t>
            </w:r>
            <w:r w:rsidR="00BF69B8" w:rsidRPr="00C8158E">
              <w:rPr>
                <w:rFonts w:ascii="Selawik" w:hAnsi="Selawik" w:cs="Arial"/>
                <w:color w:val="000000" w:themeColor="text1"/>
                <w:sz w:val="16"/>
                <w:szCs w:val="16"/>
              </w:rPr>
              <w:t>%</w:t>
            </w:r>
          </w:p>
        </w:tc>
      </w:tr>
      <w:tr w:rsidR="00AD2DDC" w:rsidRPr="00674D55" w14:paraId="49EAE002" w14:textId="77777777" w:rsidTr="00D711BE">
        <w:trPr>
          <w:trHeight w:val="800"/>
        </w:trPr>
        <w:tc>
          <w:tcPr>
            <w:tcW w:w="2268" w:type="dxa"/>
            <w:vAlign w:val="center"/>
          </w:tcPr>
          <w:p w14:paraId="552B2AED" w14:textId="2AD6901F" w:rsidR="00AD2DDC" w:rsidRPr="00062486" w:rsidRDefault="00AD2DDC" w:rsidP="00DB72A2">
            <w:pPr>
              <w:pStyle w:val="Prrafodelista"/>
              <w:numPr>
                <w:ilvl w:val="0"/>
                <w:numId w:val="1"/>
              </w:numPr>
              <w:spacing w:after="0" w:line="240" w:lineRule="auto"/>
              <w:rPr>
                <w:rFonts w:ascii="Selawik" w:hAnsi="Selawik"/>
                <w:b/>
                <w:color w:val="000000" w:themeColor="text1"/>
                <w:sz w:val="16"/>
                <w:szCs w:val="16"/>
              </w:rPr>
            </w:pPr>
            <w:r w:rsidRPr="00062486">
              <w:rPr>
                <w:rFonts w:ascii="Selawik" w:hAnsi="Selawik"/>
                <w:b/>
                <w:color w:val="000000" w:themeColor="text1"/>
                <w:sz w:val="16"/>
                <w:szCs w:val="16"/>
              </w:rPr>
              <w:t>Respuesta oportuna a reclamos recibidos</w:t>
            </w:r>
          </w:p>
        </w:tc>
        <w:tc>
          <w:tcPr>
            <w:tcW w:w="4253" w:type="dxa"/>
            <w:vAlign w:val="center"/>
          </w:tcPr>
          <w:p w14:paraId="741AA7F3" w14:textId="2E158D88" w:rsidR="00AD2DDC" w:rsidRPr="00062486" w:rsidRDefault="00AD2DDC" w:rsidP="00DB72A2">
            <w:pPr>
              <w:rPr>
                <w:rFonts w:ascii="Selawik" w:hAnsi="Selawik" w:cs="Arial"/>
                <w:color w:val="000000" w:themeColor="text1"/>
                <w:sz w:val="16"/>
                <w:szCs w:val="16"/>
              </w:rPr>
            </w:pPr>
            <w:r w:rsidRPr="00062486">
              <w:rPr>
                <w:rFonts w:ascii="Selawik" w:hAnsi="Selawik" w:cs="Arial"/>
                <w:color w:val="000000" w:themeColor="text1"/>
                <w:sz w:val="16"/>
                <w:szCs w:val="16"/>
              </w:rPr>
              <w:t>(Número de presentaciones de reclamos respondidos dentro de plazo en el año t) / (Número de presentaciones de reclamos ingresados en el año t) * 100</w:t>
            </w:r>
          </w:p>
        </w:tc>
        <w:tc>
          <w:tcPr>
            <w:tcW w:w="992" w:type="dxa"/>
            <w:vAlign w:val="center"/>
          </w:tcPr>
          <w:p w14:paraId="3DAA1E06" w14:textId="62A45946" w:rsidR="00AD2DDC" w:rsidRPr="00062486" w:rsidRDefault="00AD2DDC" w:rsidP="00DB72A2">
            <w:pPr>
              <w:jc w:val="center"/>
              <w:rPr>
                <w:rFonts w:ascii="Selawik" w:hAnsi="Selawik"/>
                <w:bCs/>
                <w:color w:val="000000" w:themeColor="text1"/>
                <w:sz w:val="16"/>
                <w:szCs w:val="16"/>
              </w:rPr>
            </w:pPr>
            <w:r w:rsidRPr="00062486">
              <w:rPr>
                <w:rFonts w:ascii="Selawik" w:hAnsi="Selawik"/>
                <w:bCs/>
                <w:color w:val="000000" w:themeColor="text1"/>
                <w:sz w:val="16"/>
                <w:szCs w:val="16"/>
              </w:rPr>
              <w:t>&gt;= 70%</w:t>
            </w:r>
          </w:p>
        </w:tc>
        <w:tc>
          <w:tcPr>
            <w:tcW w:w="992" w:type="dxa"/>
            <w:shd w:val="clear" w:color="auto" w:fill="auto"/>
            <w:vAlign w:val="center"/>
          </w:tcPr>
          <w:p w14:paraId="424E92B0" w14:textId="097C67B6"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90.</w:t>
            </w:r>
            <w:r w:rsidR="00DD0863" w:rsidRPr="00C8158E">
              <w:rPr>
                <w:rFonts w:ascii="Selawik" w:hAnsi="Selawik" w:cs="Arial"/>
                <w:color w:val="000000" w:themeColor="text1"/>
                <w:sz w:val="16"/>
                <w:szCs w:val="16"/>
              </w:rPr>
              <w:t>8</w:t>
            </w:r>
            <w:r w:rsidR="00E43F2C" w:rsidRPr="00C8158E">
              <w:rPr>
                <w:rFonts w:ascii="Selawik" w:hAnsi="Selawik" w:cs="Arial"/>
                <w:color w:val="000000" w:themeColor="text1"/>
                <w:sz w:val="16"/>
                <w:szCs w:val="16"/>
              </w:rPr>
              <w:t>%</w:t>
            </w:r>
          </w:p>
        </w:tc>
        <w:tc>
          <w:tcPr>
            <w:tcW w:w="1247" w:type="dxa"/>
            <w:vAlign w:val="center"/>
          </w:tcPr>
          <w:p w14:paraId="5B5E40DA" w14:textId="165183FC"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129.</w:t>
            </w:r>
            <w:r w:rsidR="00C8158E" w:rsidRPr="00C8158E">
              <w:rPr>
                <w:rFonts w:ascii="Selawik" w:hAnsi="Selawik" w:cs="Arial"/>
                <w:color w:val="000000" w:themeColor="text1"/>
                <w:sz w:val="16"/>
                <w:szCs w:val="16"/>
              </w:rPr>
              <w:t>7</w:t>
            </w:r>
            <w:r w:rsidR="00BF69B8" w:rsidRPr="00C8158E">
              <w:rPr>
                <w:rFonts w:ascii="Selawik" w:hAnsi="Selawik" w:cs="Arial"/>
                <w:color w:val="000000" w:themeColor="text1"/>
                <w:sz w:val="16"/>
                <w:szCs w:val="16"/>
              </w:rPr>
              <w:t>%</w:t>
            </w:r>
          </w:p>
        </w:tc>
      </w:tr>
      <w:tr w:rsidR="00AD2DDC" w:rsidRPr="00674D55" w14:paraId="30C66847" w14:textId="77777777" w:rsidTr="00D711BE">
        <w:trPr>
          <w:trHeight w:val="1159"/>
        </w:trPr>
        <w:tc>
          <w:tcPr>
            <w:tcW w:w="2268" w:type="dxa"/>
            <w:vAlign w:val="center"/>
          </w:tcPr>
          <w:p w14:paraId="50C4C4C0" w14:textId="35F63DF0" w:rsidR="00AD2DDC" w:rsidRPr="00062486" w:rsidRDefault="00AD2DDC" w:rsidP="00DB72A2">
            <w:pPr>
              <w:pStyle w:val="Prrafodelista"/>
              <w:numPr>
                <w:ilvl w:val="0"/>
                <w:numId w:val="1"/>
              </w:numPr>
              <w:spacing w:after="0" w:line="240" w:lineRule="auto"/>
              <w:rPr>
                <w:rFonts w:ascii="Selawik" w:hAnsi="Selawik"/>
                <w:b/>
                <w:color w:val="000000" w:themeColor="text1"/>
                <w:sz w:val="16"/>
                <w:szCs w:val="16"/>
              </w:rPr>
            </w:pPr>
            <w:r w:rsidRPr="00062486">
              <w:rPr>
                <w:rFonts w:ascii="Selawik" w:hAnsi="Selawik"/>
                <w:b/>
                <w:color w:val="000000" w:themeColor="text1"/>
                <w:sz w:val="16"/>
                <w:szCs w:val="16"/>
              </w:rPr>
              <w:t>Cobertura de la entrevista investigativa videograbada (EIV)</w:t>
            </w:r>
          </w:p>
        </w:tc>
        <w:tc>
          <w:tcPr>
            <w:tcW w:w="4253" w:type="dxa"/>
            <w:vAlign w:val="center"/>
          </w:tcPr>
          <w:p w14:paraId="27BCD16B" w14:textId="762DDCBC" w:rsidR="00AD2DDC" w:rsidRPr="00062486" w:rsidRDefault="007340CF" w:rsidP="00DB72A2">
            <w:pPr>
              <w:rPr>
                <w:rFonts w:ascii="Selawik" w:hAnsi="Selawik" w:cs="Arial"/>
                <w:color w:val="000000" w:themeColor="text1"/>
                <w:sz w:val="16"/>
                <w:szCs w:val="16"/>
              </w:rPr>
            </w:pPr>
            <w:r w:rsidRPr="00062486">
              <w:rPr>
                <w:rFonts w:ascii="Selawik" w:hAnsi="Selawik" w:cs="Arial"/>
                <w:color w:val="000000" w:themeColor="text1"/>
                <w:sz w:val="16"/>
                <w:szCs w:val="16"/>
              </w:rPr>
              <w:t>(Número de EIV realizadas a víctimas NNA ingresadas en el año t / Número total de víctimas NNA ingresadas en el período, que cuentan con evaluación previa con resultado disponible para EIV) *100</w:t>
            </w:r>
          </w:p>
        </w:tc>
        <w:tc>
          <w:tcPr>
            <w:tcW w:w="992" w:type="dxa"/>
            <w:vAlign w:val="center"/>
          </w:tcPr>
          <w:p w14:paraId="11BABD48" w14:textId="3E6D2C79" w:rsidR="00AD2DDC" w:rsidRPr="00062486" w:rsidRDefault="007340CF" w:rsidP="00DB72A2">
            <w:pPr>
              <w:jc w:val="center"/>
              <w:rPr>
                <w:rFonts w:ascii="Selawik" w:hAnsi="Selawik"/>
                <w:bCs/>
                <w:color w:val="000000" w:themeColor="text1"/>
                <w:sz w:val="16"/>
                <w:szCs w:val="16"/>
              </w:rPr>
            </w:pPr>
            <w:r w:rsidRPr="00062486">
              <w:rPr>
                <w:rFonts w:ascii="Selawik" w:hAnsi="Selawik"/>
                <w:bCs/>
                <w:color w:val="000000" w:themeColor="text1"/>
                <w:sz w:val="16"/>
                <w:szCs w:val="16"/>
              </w:rPr>
              <w:t>&gt;= 60%</w:t>
            </w:r>
          </w:p>
        </w:tc>
        <w:tc>
          <w:tcPr>
            <w:tcW w:w="992" w:type="dxa"/>
            <w:shd w:val="clear" w:color="auto" w:fill="auto"/>
            <w:vAlign w:val="center"/>
          </w:tcPr>
          <w:p w14:paraId="43FC2A9A" w14:textId="0E36CBC9"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83.</w:t>
            </w:r>
            <w:r w:rsidR="00DD0863" w:rsidRPr="00C8158E">
              <w:rPr>
                <w:rFonts w:ascii="Selawik" w:hAnsi="Selawik" w:cs="Arial"/>
                <w:color w:val="000000" w:themeColor="text1"/>
                <w:sz w:val="16"/>
                <w:szCs w:val="16"/>
              </w:rPr>
              <w:t>9</w:t>
            </w:r>
            <w:r w:rsidR="00E43F2C" w:rsidRPr="00C8158E">
              <w:rPr>
                <w:rFonts w:ascii="Selawik" w:hAnsi="Selawik" w:cs="Arial"/>
                <w:color w:val="000000" w:themeColor="text1"/>
                <w:sz w:val="16"/>
                <w:szCs w:val="16"/>
              </w:rPr>
              <w:t>%</w:t>
            </w:r>
          </w:p>
        </w:tc>
        <w:tc>
          <w:tcPr>
            <w:tcW w:w="1247" w:type="dxa"/>
            <w:vAlign w:val="center"/>
          </w:tcPr>
          <w:p w14:paraId="3BFB3FAB" w14:textId="6EE2BE63"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139.</w:t>
            </w:r>
            <w:r w:rsidR="00C8158E" w:rsidRPr="00C8158E">
              <w:rPr>
                <w:rFonts w:ascii="Selawik" w:hAnsi="Selawik" w:cs="Arial"/>
                <w:color w:val="000000" w:themeColor="text1"/>
                <w:sz w:val="16"/>
                <w:szCs w:val="16"/>
              </w:rPr>
              <w:t>8</w:t>
            </w:r>
            <w:r w:rsidR="00BF69B8" w:rsidRPr="00C8158E">
              <w:rPr>
                <w:rFonts w:ascii="Selawik" w:hAnsi="Selawik" w:cs="Arial"/>
                <w:color w:val="000000" w:themeColor="text1"/>
                <w:sz w:val="16"/>
                <w:szCs w:val="16"/>
              </w:rPr>
              <w:t>%</w:t>
            </w:r>
          </w:p>
        </w:tc>
      </w:tr>
      <w:tr w:rsidR="00AD2DDC" w:rsidRPr="00674D55" w14:paraId="16693E3F" w14:textId="77777777" w:rsidTr="00D711BE">
        <w:trPr>
          <w:trHeight w:val="1261"/>
        </w:trPr>
        <w:tc>
          <w:tcPr>
            <w:tcW w:w="2268" w:type="dxa"/>
            <w:vAlign w:val="center"/>
          </w:tcPr>
          <w:p w14:paraId="5D6A2B6B" w14:textId="1A6E42B1" w:rsidR="00AD2DDC" w:rsidRPr="00062486" w:rsidRDefault="007340CF" w:rsidP="00DB72A2">
            <w:pPr>
              <w:pStyle w:val="Prrafodelista"/>
              <w:numPr>
                <w:ilvl w:val="0"/>
                <w:numId w:val="1"/>
              </w:numPr>
              <w:spacing w:after="0" w:line="240" w:lineRule="auto"/>
              <w:rPr>
                <w:rFonts w:ascii="Selawik" w:hAnsi="Selawik"/>
                <w:b/>
                <w:color w:val="000000" w:themeColor="text1"/>
                <w:sz w:val="16"/>
                <w:szCs w:val="16"/>
              </w:rPr>
            </w:pPr>
            <w:r w:rsidRPr="00062486">
              <w:rPr>
                <w:rFonts w:ascii="Selawik" w:hAnsi="Selawik"/>
                <w:b/>
                <w:color w:val="000000" w:themeColor="text1"/>
                <w:sz w:val="16"/>
                <w:szCs w:val="16"/>
              </w:rPr>
              <w:t>Oportunidad de la entrevista investigativa videograbada (EIV)</w:t>
            </w:r>
          </w:p>
        </w:tc>
        <w:tc>
          <w:tcPr>
            <w:tcW w:w="4253" w:type="dxa"/>
            <w:vAlign w:val="center"/>
          </w:tcPr>
          <w:p w14:paraId="4D108E13" w14:textId="0688B3C7" w:rsidR="00AD2DDC" w:rsidRPr="00062486" w:rsidRDefault="007340CF" w:rsidP="00DB72A2">
            <w:pPr>
              <w:rPr>
                <w:rFonts w:ascii="Selawik" w:hAnsi="Selawik" w:cs="Arial"/>
                <w:color w:val="000000" w:themeColor="text1"/>
                <w:sz w:val="16"/>
                <w:szCs w:val="16"/>
              </w:rPr>
            </w:pPr>
            <w:r w:rsidRPr="00062486">
              <w:rPr>
                <w:rFonts w:ascii="Selawik" w:hAnsi="Selawik" w:cs="Arial"/>
                <w:color w:val="000000" w:themeColor="text1"/>
                <w:sz w:val="16"/>
                <w:szCs w:val="16"/>
              </w:rPr>
              <w:t>(Número de EIV realizadas en un plazo máximo de 45 días corridos a víctimas NNA ingresadas en el año t / Número total de EIV realizadas a víctimas NNA ingresadas en el año t) * 100</w:t>
            </w:r>
          </w:p>
        </w:tc>
        <w:tc>
          <w:tcPr>
            <w:tcW w:w="992" w:type="dxa"/>
            <w:vAlign w:val="center"/>
          </w:tcPr>
          <w:p w14:paraId="0F273F74" w14:textId="47855606" w:rsidR="00AD2DDC" w:rsidRPr="00062486" w:rsidRDefault="0032131F" w:rsidP="00DB72A2">
            <w:pPr>
              <w:jc w:val="center"/>
              <w:rPr>
                <w:rFonts w:ascii="Selawik" w:hAnsi="Selawik"/>
                <w:bCs/>
                <w:color w:val="000000" w:themeColor="text1"/>
                <w:sz w:val="16"/>
                <w:szCs w:val="16"/>
              </w:rPr>
            </w:pPr>
            <w:r>
              <w:rPr>
                <w:rFonts w:ascii="Selawik" w:hAnsi="Selawik"/>
                <w:bCs/>
                <w:color w:val="000000" w:themeColor="text1"/>
                <w:sz w:val="16"/>
                <w:szCs w:val="16"/>
              </w:rPr>
              <w:t>&gt;</w:t>
            </w:r>
            <w:r w:rsidR="007340CF" w:rsidRPr="00062486">
              <w:rPr>
                <w:rFonts w:ascii="Selawik" w:hAnsi="Selawik"/>
                <w:bCs/>
                <w:color w:val="000000" w:themeColor="text1"/>
                <w:sz w:val="16"/>
                <w:szCs w:val="16"/>
              </w:rPr>
              <w:t>= 60%</w:t>
            </w:r>
          </w:p>
        </w:tc>
        <w:tc>
          <w:tcPr>
            <w:tcW w:w="992" w:type="dxa"/>
            <w:shd w:val="clear" w:color="auto" w:fill="auto"/>
            <w:vAlign w:val="center"/>
          </w:tcPr>
          <w:p w14:paraId="6FBA02BB" w14:textId="593B82A1"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8</w:t>
            </w:r>
            <w:r w:rsidR="00DD0863" w:rsidRPr="00C8158E">
              <w:rPr>
                <w:rFonts w:ascii="Selawik" w:hAnsi="Selawik" w:cs="Arial"/>
                <w:color w:val="000000" w:themeColor="text1"/>
                <w:sz w:val="16"/>
                <w:szCs w:val="16"/>
              </w:rPr>
              <w:t>2</w:t>
            </w:r>
            <w:r w:rsidRPr="00C8158E">
              <w:rPr>
                <w:rFonts w:ascii="Selawik" w:hAnsi="Selawik" w:cs="Arial"/>
                <w:color w:val="000000" w:themeColor="text1"/>
                <w:sz w:val="16"/>
                <w:szCs w:val="16"/>
              </w:rPr>
              <w:t>.</w:t>
            </w:r>
            <w:r w:rsidR="00DD0863" w:rsidRPr="00C8158E">
              <w:rPr>
                <w:rFonts w:ascii="Selawik" w:hAnsi="Selawik" w:cs="Arial"/>
                <w:color w:val="000000" w:themeColor="text1"/>
                <w:sz w:val="16"/>
                <w:szCs w:val="16"/>
              </w:rPr>
              <w:t>4</w:t>
            </w:r>
            <w:r w:rsidR="00E43F2C" w:rsidRPr="00C8158E">
              <w:rPr>
                <w:rFonts w:ascii="Selawik" w:hAnsi="Selawik" w:cs="Arial"/>
                <w:color w:val="000000" w:themeColor="text1"/>
                <w:sz w:val="16"/>
                <w:szCs w:val="16"/>
              </w:rPr>
              <w:t>%</w:t>
            </w:r>
          </w:p>
        </w:tc>
        <w:tc>
          <w:tcPr>
            <w:tcW w:w="1247" w:type="dxa"/>
            <w:vAlign w:val="center"/>
          </w:tcPr>
          <w:p w14:paraId="4E07A59C" w14:textId="21DB3FA8" w:rsidR="00AD2DDC" w:rsidRPr="00C8158E" w:rsidRDefault="001A50CF" w:rsidP="00DB72A2">
            <w:pPr>
              <w:jc w:val="center"/>
              <w:rPr>
                <w:rFonts w:ascii="Selawik" w:hAnsi="Selawik" w:cs="Arial"/>
                <w:color w:val="000000" w:themeColor="text1"/>
                <w:sz w:val="16"/>
                <w:szCs w:val="16"/>
              </w:rPr>
            </w:pPr>
            <w:r w:rsidRPr="00C8158E">
              <w:rPr>
                <w:rFonts w:ascii="Selawik" w:hAnsi="Selawik" w:cs="Arial"/>
                <w:color w:val="000000" w:themeColor="text1"/>
                <w:sz w:val="16"/>
                <w:szCs w:val="16"/>
              </w:rPr>
              <w:t>1</w:t>
            </w:r>
            <w:r w:rsidR="00C8158E" w:rsidRPr="00C8158E">
              <w:rPr>
                <w:rFonts w:ascii="Selawik" w:hAnsi="Selawik" w:cs="Arial"/>
                <w:color w:val="000000" w:themeColor="text1"/>
                <w:sz w:val="16"/>
                <w:szCs w:val="16"/>
              </w:rPr>
              <w:t>37.3</w:t>
            </w:r>
            <w:r w:rsidR="00BF69B8" w:rsidRPr="00C8158E">
              <w:rPr>
                <w:rFonts w:ascii="Selawik" w:hAnsi="Selawik" w:cs="Arial"/>
                <w:color w:val="000000" w:themeColor="text1"/>
                <w:sz w:val="16"/>
                <w:szCs w:val="16"/>
              </w:rPr>
              <w:t>%</w:t>
            </w:r>
          </w:p>
        </w:tc>
      </w:tr>
      <w:tr w:rsidR="00AD2DDC" w:rsidRPr="00674D55" w14:paraId="00C55EA8" w14:textId="77777777" w:rsidTr="00D711BE">
        <w:trPr>
          <w:trHeight w:val="2115"/>
        </w:trPr>
        <w:tc>
          <w:tcPr>
            <w:tcW w:w="2268" w:type="dxa"/>
            <w:vAlign w:val="center"/>
          </w:tcPr>
          <w:p w14:paraId="5E85B1EE" w14:textId="680E1F8E" w:rsidR="00AD2DDC" w:rsidRPr="00062486" w:rsidRDefault="007340CF" w:rsidP="00DB72A2">
            <w:pPr>
              <w:pStyle w:val="Prrafodelista"/>
              <w:numPr>
                <w:ilvl w:val="0"/>
                <w:numId w:val="1"/>
              </w:numPr>
              <w:spacing w:after="0" w:line="240" w:lineRule="auto"/>
              <w:rPr>
                <w:rFonts w:ascii="Selawik" w:hAnsi="Selawik"/>
                <w:iCs/>
                <w:color w:val="000000" w:themeColor="text1"/>
                <w:sz w:val="16"/>
                <w:szCs w:val="16"/>
              </w:rPr>
            </w:pPr>
            <w:bookmarkStart w:id="0" w:name="_Toc157301333"/>
            <w:bookmarkStart w:id="1" w:name="_Toc163661994"/>
            <w:r w:rsidRPr="00062486">
              <w:rPr>
                <w:rFonts w:ascii="Selawik" w:hAnsi="Selawik"/>
                <w:b/>
                <w:iCs/>
                <w:color w:val="000000" w:themeColor="text1"/>
                <w:sz w:val="16"/>
                <w:szCs w:val="16"/>
              </w:rPr>
              <w:t>Gestión oportuna de las solicitudes ingresadas por el espacio telefónico (</w:t>
            </w:r>
            <w:proofErr w:type="spellStart"/>
            <w:proofErr w:type="gramStart"/>
            <w:r w:rsidRPr="00062486">
              <w:rPr>
                <w:rFonts w:ascii="Selawik" w:hAnsi="Selawik"/>
                <w:b/>
                <w:iCs/>
                <w:color w:val="000000" w:themeColor="text1"/>
                <w:sz w:val="16"/>
                <w:szCs w:val="16"/>
              </w:rPr>
              <w:t>call</w:t>
            </w:r>
            <w:proofErr w:type="spellEnd"/>
            <w:r w:rsidRPr="00062486">
              <w:rPr>
                <w:rFonts w:ascii="Selawik" w:hAnsi="Selawik"/>
                <w:b/>
                <w:iCs/>
                <w:color w:val="000000" w:themeColor="text1"/>
                <w:sz w:val="16"/>
                <w:szCs w:val="16"/>
              </w:rPr>
              <w:t xml:space="preserve"> center</w:t>
            </w:r>
            <w:proofErr w:type="gramEnd"/>
            <w:r w:rsidRPr="00062486">
              <w:rPr>
                <w:rFonts w:ascii="Selawik" w:hAnsi="Selawik"/>
                <w:b/>
                <w:iCs/>
                <w:color w:val="000000" w:themeColor="text1"/>
                <w:sz w:val="16"/>
                <w:szCs w:val="16"/>
              </w:rPr>
              <w:t xml:space="preserve"> fiscalía) en el sistema de información y atención de usuarios (SIAU)</w:t>
            </w:r>
            <w:bookmarkEnd w:id="0"/>
            <w:bookmarkEnd w:id="1"/>
          </w:p>
        </w:tc>
        <w:tc>
          <w:tcPr>
            <w:tcW w:w="4253" w:type="dxa"/>
            <w:vAlign w:val="center"/>
          </w:tcPr>
          <w:p w14:paraId="4A07D665" w14:textId="4388DA7E" w:rsidR="00AD2DDC" w:rsidRPr="00062486" w:rsidRDefault="007340CF" w:rsidP="00062486">
            <w:pPr>
              <w:jc w:val="both"/>
              <w:rPr>
                <w:rFonts w:ascii="Selawik" w:hAnsi="Selawik" w:cs="Arial"/>
                <w:color w:val="000000" w:themeColor="text1"/>
                <w:sz w:val="16"/>
                <w:szCs w:val="16"/>
              </w:rPr>
            </w:pPr>
            <w:r w:rsidRPr="00062486">
              <w:rPr>
                <w:rFonts w:ascii="Selawik" w:hAnsi="Selawik" w:cs="Arial"/>
                <w:color w:val="000000" w:themeColor="text1"/>
                <w:sz w:val="16"/>
                <w:szCs w:val="16"/>
              </w:rPr>
              <w:t>(Número de solicitudes ingresadas en el año t por el Espacio Telefónico SIAU (</w:t>
            </w:r>
            <w:proofErr w:type="spellStart"/>
            <w:proofErr w:type="gramStart"/>
            <w:r w:rsidRPr="00062486">
              <w:rPr>
                <w:rFonts w:ascii="Selawik" w:hAnsi="Selawik" w:cs="Arial"/>
                <w:color w:val="000000" w:themeColor="text1"/>
                <w:sz w:val="16"/>
                <w:szCs w:val="16"/>
              </w:rPr>
              <w:t>Call</w:t>
            </w:r>
            <w:proofErr w:type="spellEnd"/>
            <w:r w:rsidRPr="00062486">
              <w:rPr>
                <w:rFonts w:ascii="Selawik" w:hAnsi="Selawik" w:cs="Arial"/>
                <w:color w:val="000000" w:themeColor="text1"/>
                <w:sz w:val="16"/>
                <w:szCs w:val="16"/>
              </w:rPr>
              <w:t xml:space="preserve"> Center</w:t>
            </w:r>
            <w:proofErr w:type="gramEnd"/>
            <w:r w:rsidRPr="00062486">
              <w:rPr>
                <w:rFonts w:ascii="Selawik" w:hAnsi="Selawik" w:cs="Arial"/>
                <w:color w:val="000000" w:themeColor="text1"/>
                <w:sz w:val="16"/>
                <w:szCs w:val="16"/>
              </w:rPr>
              <w:t xml:space="preserve"> Fiscalía) que requieren evaluación interna aprobadas para comunicar por el resolutor regional o local dentro del plazo establecido desde su fecha de ingreso / Número total de solicitudes ingresadas en el año t por el Espacio Telefónico SIAU (</w:t>
            </w:r>
            <w:proofErr w:type="spellStart"/>
            <w:r w:rsidRPr="00062486">
              <w:rPr>
                <w:rFonts w:ascii="Selawik" w:hAnsi="Selawik" w:cs="Arial"/>
                <w:color w:val="000000" w:themeColor="text1"/>
                <w:sz w:val="16"/>
                <w:szCs w:val="16"/>
              </w:rPr>
              <w:t>Call</w:t>
            </w:r>
            <w:proofErr w:type="spellEnd"/>
            <w:r w:rsidRPr="00062486">
              <w:rPr>
                <w:rFonts w:ascii="Selawik" w:hAnsi="Selawik" w:cs="Arial"/>
                <w:color w:val="000000" w:themeColor="text1"/>
                <w:sz w:val="16"/>
                <w:szCs w:val="16"/>
              </w:rPr>
              <w:t xml:space="preserve"> Center Fiscalía) que requieren evaluación interna) *100</w:t>
            </w:r>
          </w:p>
        </w:tc>
        <w:tc>
          <w:tcPr>
            <w:tcW w:w="992" w:type="dxa"/>
            <w:vAlign w:val="center"/>
          </w:tcPr>
          <w:p w14:paraId="29B8BFDA" w14:textId="2E2FABD4" w:rsidR="00AD2DDC" w:rsidRPr="00062486" w:rsidRDefault="007340CF" w:rsidP="00DB72A2">
            <w:pPr>
              <w:jc w:val="center"/>
              <w:rPr>
                <w:rFonts w:ascii="Selawik" w:hAnsi="Selawik"/>
                <w:bCs/>
                <w:color w:val="000000" w:themeColor="text1"/>
                <w:sz w:val="16"/>
                <w:szCs w:val="16"/>
              </w:rPr>
            </w:pPr>
            <w:r w:rsidRPr="00062486">
              <w:rPr>
                <w:rFonts w:ascii="Selawik" w:hAnsi="Selawik"/>
                <w:bCs/>
                <w:color w:val="000000" w:themeColor="text1"/>
                <w:sz w:val="16"/>
                <w:szCs w:val="16"/>
              </w:rPr>
              <w:t>&gt;= 92%</w:t>
            </w:r>
          </w:p>
        </w:tc>
        <w:tc>
          <w:tcPr>
            <w:tcW w:w="992" w:type="dxa"/>
            <w:shd w:val="clear" w:color="auto" w:fill="auto"/>
            <w:vAlign w:val="center"/>
          </w:tcPr>
          <w:p w14:paraId="2FA4DBE6" w14:textId="748D365B" w:rsidR="00E43F2C" w:rsidRPr="00C8158E" w:rsidRDefault="001A50CF" w:rsidP="00BF69B8">
            <w:pPr>
              <w:jc w:val="center"/>
              <w:rPr>
                <w:rFonts w:ascii="Selawik" w:hAnsi="Selawik" w:cs="Arial"/>
                <w:color w:val="000000" w:themeColor="text1"/>
                <w:sz w:val="16"/>
                <w:szCs w:val="16"/>
              </w:rPr>
            </w:pPr>
            <w:r w:rsidRPr="00C8158E">
              <w:rPr>
                <w:rFonts w:ascii="Selawik" w:hAnsi="Selawik" w:cs="Arial"/>
                <w:color w:val="000000" w:themeColor="text1"/>
                <w:sz w:val="16"/>
                <w:szCs w:val="16"/>
              </w:rPr>
              <w:t>9</w:t>
            </w:r>
            <w:r w:rsidR="00DD0863" w:rsidRPr="00C8158E">
              <w:rPr>
                <w:rFonts w:ascii="Selawik" w:hAnsi="Selawik" w:cs="Arial"/>
                <w:color w:val="000000" w:themeColor="text1"/>
                <w:sz w:val="16"/>
                <w:szCs w:val="16"/>
              </w:rPr>
              <w:t>2</w:t>
            </w:r>
            <w:r w:rsidRPr="00C8158E">
              <w:rPr>
                <w:rFonts w:ascii="Selawik" w:hAnsi="Selawik" w:cs="Arial"/>
                <w:color w:val="000000" w:themeColor="text1"/>
                <w:sz w:val="16"/>
                <w:szCs w:val="16"/>
              </w:rPr>
              <w:t>.</w:t>
            </w:r>
            <w:r w:rsidR="00DD0863" w:rsidRPr="00C8158E">
              <w:rPr>
                <w:rFonts w:ascii="Selawik" w:hAnsi="Selawik" w:cs="Arial"/>
                <w:color w:val="000000" w:themeColor="text1"/>
                <w:sz w:val="16"/>
                <w:szCs w:val="16"/>
              </w:rPr>
              <w:t>4</w:t>
            </w:r>
            <w:r w:rsidR="00E43F2C" w:rsidRPr="00C8158E">
              <w:rPr>
                <w:rFonts w:ascii="Selawik" w:hAnsi="Selawik" w:cs="Arial"/>
                <w:color w:val="000000" w:themeColor="text1"/>
                <w:sz w:val="16"/>
                <w:szCs w:val="16"/>
              </w:rPr>
              <w:t>%</w:t>
            </w:r>
          </w:p>
        </w:tc>
        <w:tc>
          <w:tcPr>
            <w:tcW w:w="1247" w:type="dxa"/>
            <w:vAlign w:val="center"/>
          </w:tcPr>
          <w:p w14:paraId="6294C7E4" w14:textId="5056F89A" w:rsidR="00BF69B8" w:rsidRPr="00C8158E" w:rsidRDefault="00C8158E" w:rsidP="00BF69B8">
            <w:pPr>
              <w:jc w:val="center"/>
              <w:rPr>
                <w:rFonts w:ascii="Selawik" w:hAnsi="Selawik" w:cs="Arial"/>
                <w:color w:val="000000" w:themeColor="text1"/>
                <w:sz w:val="16"/>
                <w:szCs w:val="16"/>
              </w:rPr>
            </w:pPr>
            <w:r w:rsidRPr="00C8158E">
              <w:rPr>
                <w:rFonts w:ascii="Selawik" w:hAnsi="Selawik" w:cs="Arial"/>
                <w:color w:val="000000" w:themeColor="text1"/>
                <w:sz w:val="16"/>
                <w:szCs w:val="16"/>
              </w:rPr>
              <w:t>100.4</w:t>
            </w:r>
            <w:r w:rsidR="00BF69B8" w:rsidRPr="00C8158E">
              <w:rPr>
                <w:rFonts w:ascii="Selawik" w:hAnsi="Selawik" w:cs="Arial"/>
                <w:color w:val="000000" w:themeColor="text1"/>
                <w:sz w:val="16"/>
                <w:szCs w:val="16"/>
              </w:rPr>
              <w:t>%</w:t>
            </w:r>
          </w:p>
        </w:tc>
      </w:tr>
    </w:tbl>
    <w:p w14:paraId="5B08EC24" w14:textId="77777777" w:rsidR="004C5016" w:rsidRPr="00674D55" w:rsidRDefault="004C5016" w:rsidP="004C5016">
      <w:pPr>
        <w:rPr>
          <w:rFonts w:ascii="Selawik" w:hAnsi="Selawik" w:cs="Arial"/>
        </w:rPr>
      </w:pPr>
    </w:p>
    <w:p w14:paraId="219E0E8C" w14:textId="77777777" w:rsidR="00062486" w:rsidRDefault="00062486" w:rsidP="004C5016">
      <w:pPr>
        <w:rPr>
          <w:rFonts w:ascii="Selawik" w:hAnsi="Selawik" w:cs="Arial"/>
        </w:rPr>
      </w:pPr>
    </w:p>
    <w:p w14:paraId="0EC78AF2" w14:textId="77777777" w:rsidR="00062486" w:rsidRPr="00674D55" w:rsidRDefault="00062486" w:rsidP="004C5016">
      <w:pPr>
        <w:rPr>
          <w:rFonts w:ascii="Selawik" w:hAnsi="Selawik" w:cs="Arial"/>
        </w:rPr>
      </w:pPr>
    </w:p>
    <w:p w14:paraId="495625A6" w14:textId="77777777" w:rsidR="00B17A34" w:rsidRPr="00674D55" w:rsidRDefault="00B17A34" w:rsidP="004C5016">
      <w:pPr>
        <w:rPr>
          <w:rFonts w:ascii="Selawik" w:hAnsi="Selawik" w:cs="Arial"/>
        </w:rPr>
      </w:pPr>
    </w:p>
    <w:p w14:paraId="592C17F3" w14:textId="77777777" w:rsidR="004C5016" w:rsidRPr="00674D55" w:rsidRDefault="00176B75" w:rsidP="004C5016">
      <w:pPr>
        <w:shd w:val="clear" w:color="auto" w:fill="8DB3E2" w:themeFill="text2" w:themeFillTint="66"/>
        <w:rPr>
          <w:rFonts w:ascii="Selawik" w:hAnsi="Selawik" w:cs="Arial"/>
          <w:b/>
          <w:color w:val="FFFFFF" w:themeColor="background1"/>
          <w:sz w:val="28"/>
          <w:szCs w:val="28"/>
        </w:rPr>
      </w:pPr>
      <w:r w:rsidRPr="00674D55">
        <w:rPr>
          <w:rFonts w:ascii="Selawik" w:hAnsi="Selawik" w:cs="Arial"/>
          <w:b/>
          <w:color w:val="FFFFFF" w:themeColor="background1"/>
          <w:sz w:val="28"/>
          <w:szCs w:val="28"/>
        </w:rPr>
        <w:lastRenderedPageBreak/>
        <w:t>P</w:t>
      </w:r>
      <w:r w:rsidR="004C5016" w:rsidRPr="00674D55">
        <w:rPr>
          <w:rFonts w:ascii="Selawik" w:hAnsi="Selawik" w:cs="Arial"/>
          <w:b/>
          <w:color w:val="FFFFFF" w:themeColor="background1"/>
          <w:sz w:val="28"/>
          <w:szCs w:val="28"/>
        </w:rPr>
        <w:t xml:space="preserve">ERSPECTIVA:   GESTIÓN JURÍDICA                                                                                                                                        </w:t>
      </w:r>
    </w:p>
    <w:p w14:paraId="0B9FA078" w14:textId="77777777" w:rsidR="004C5016" w:rsidRPr="00674D55" w:rsidRDefault="004C5016" w:rsidP="004C5016">
      <w:pPr>
        <w:ind w:left="360"/>
        <w:rPr>
          <w:rFonts w:ascii="Selawik" w:hAnsi="Selawik" w:cs="Arial"/>
          <w:b/>
          <w:szCs w:val="28"/>
        </w:rPr>
      </w:pPr>
    </w:p>
    <w:p w14:paraId="05DBD13F" w14:textId="77777777" w:rsidR="004C5016" w:rsidRPr="00674D55" w:rsidRDefault="004C5016" w:rsidP="004C5016">
      <w:pPr>
        <w:jc w:val="both"/>
        <w:rPr>
          <w:rFonts w:ascii="Selawik" w:hAnsi="Selawik"/>
          <w:sz w:val="20"/>
          <w:szCs w:val="22"/>
        </w:rPr>
      </w:pPr>
      <w:r w:rsidRPr="00674D55">
        <w:rPr>
          <w:rFonts w:ascii="Selawik" w:hAnsi="Selawik" w:cs="Arial"/>
          <w:b/>
          <w:sz w:val="20"/>
          <w:szCs w:val="22"/>
        </w:rPr>
        <w:t xml:space="preserve">OBJETIVO ESTRATÉGICO VINCULADO: </w:t>
      </w:r>
      <w:r w:rsidRPr="00674D55">
        <w:rPr>
          <w:rFonts w:ascii="Selawik" w:hAnsi="Selawik"/>
          <w:sz w:val="20"/>
          <w:szCs w:val="22"/>
        </w:rPr>
        <w:t>Focalizar los esfuerzos y recursos en dar respuesta al conflicto penal. Mejorar la Dirección y calidad de la investigación penal.</w:t>
      </w:r>
    </w:p>
    <w:p w14:paraId="5CF71376" w14:textId="77777777" w:rsidR="004C5016" w:rsidRPr="00674D55" w:rsidRDefault="004C5016" w:rsidP="004C5016">
      <w:pPr>
        <w:jc w:val="both"/>
        <w:rPr>
          <w:rFonts w:ascii="Selawik" w:hAnsi="Selawik" w:cs="Arial"/>
          <w:sz w:val="22"/>
          <w:szCs w:val="22"/>
        </w:rPr>
      </w:pPr>
    </w:p>
    <w:tbl>
      <w:tblPr>
        <w:tblStyle w:val="Listaclara-nfasis11"/>
        <w:tblW w:w="5152" w:type="pct"/>
        <w:jc w:val="center"/>
        <w:tblBorders>
          <w:top w:val="single" w:sz="6" w:space="0" w:color="4F81BD" w:themeColor="accent1"/>
          <w:left w:val="single" w:sz="6" w:space="0" w:color="4F81BD" w:themeColor="accent1"/>
          <w:bottom w:val="single" w:sz="6" w:space="0" w:color="4F81BD" w:themeColor="accent1"/>
          <w:right w:val="single" w:sz="6" w:space="0" w:color="4F81BD" w:themeColor="accent1"/>
          <w:insideH w:val="single" w:sz="6" w:space="0" w:color="4F81BD" w:themeColor="accent1"/>
          <w:insideV w:val="single" w:sz="6" w:space="0" w:color="4F81BD" w:themeColor="accent1"/>
        </w:tblBorders>
        <w:tblLayout w:type="fixed"/>
        <w:tblLook w:val="04A0" w:firstRow="1" w:lastRow="0" w:firstColumn="1" w:lastColumn="0" w:noHBand="0" w:noVBand="1"/>
      </w:tblPr>
      <w:tblGrid>
        <w:gridCol w:w="2260"/>
        <w:gridCol w:w="4397"/>
        <w:gridCol w:w="990"/>
        <w:gridCol w:w="994"/>
        <w:gridCol w:w="1275"/>
      </w:tblGrid>
      <w:tr w:rsidR="00062486" w:rsidRPr="00674D55" w14:paraId="15A54EA8" w14:textId="77777777" w:rsidTr="00062486">
        <w:trPr>
          <w:cnfStyle w:val="100000000000" w:firstRow="1" w:lastRow="0" w:firstColumn="0" w:lastColumn="0" w:oddVBand="0" w:evenVBand="0" w:oddHBand="0" w:evenHBand="0" w:firstRowFirstColumn="0" w:firstRowLastColumn="0" w:lastRowFirstColumn="0" w:lastRowLastColumn="0"/>
          <w:trHeight w:val="553"/>
          <w:jc w:val="center"/>
        </w:trPr>
        <w:tc>
          <w:tcPr>
            <w:cnfStyle w:val="001000000000" w:firstRow="0" w:lastRow="0" w:firstColumn="1" w:lastColumn="0" w:oddVBand="0" w:evenVBand="0" w:oddHBand="0" w:evenHBand="0" w:firstRowFirstColumn="0" w:firstRowLastColumn="0" w:lastRowFirstColumn="0" w:lastRowLastColumn="0"/>
            <w:tcW w:w="1140" w:type="pct"/>
            <w:shd w:val="clear" w:color="auto" w:fill="548DD4" w:themeFill="text2" w:themeFillTint="99"/>
            <w:vAlign w:val="center"/>
          </w:tcPr>
          <w:p w14:paraId="0DB26AD7" w14:textId="77777777" w:rsidR="003D3FBC" w:rsidRPr="00674D55" w:rsidRDefault="003D3FBC" w:rsidP="003D3FBC">
            <w:pPr>
              <w:jc w:val="center"/>
              <w:rPr>
                <w:rFonts w:ascii="Selawik" w:hAnsi="Selawik" w:cs="Arial"/>
                <w:color w:val="FFFFFF"/>
                <w:sz w:val="12"/>
                <w:szCs w:val="18"/>
              </w:rPr>
            </w:pPr>
            <w:r w:rsidRPr="00674D55">
              <w:rPr>
                <w:rFonts w:ascii="Selawik" w:hAnsi="Selawik" w:cs="Arial"/>
                <w:color w:val="FFFFFF"/>
                <w:sz w:val="12"/>
                <w:szCs w:val="18"/>
              </w:rPr>
              <w:t>INDICADOR</w:t>
            </w:r>
          </w:p>
        </w:tc>
        <w:tc>
          <w:tcPr>
            <w:tcW w:w="2217" w:type="pct"/>
            <w:shd w:val="clear" w:color="auto" w:fill="548DD4" w:themeFill="text2" w:themeFillTint="99"/>
            <w:vAlign w:val="center"/>
          </w:tcPr>
          <w:p w14:paraId="10B96CD6" w14:textId="77777777" w:rsidR="003D3FBC" w:rsidRPr="00674D55" w:rsidRDefault="003D3FBC" w:rsidP="003D3FBC">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FFFFFF"/>
                <w:sz w:val="12"/>
                <w:szCs w:val="18"/>
              </w:rPr>
            </w:pPr>
            <w:r w:rsidRPr="00674D55">
              <w:rPr>
                <w:rFonts w:ascii="Selawik" w:hAnsi="Selawik" w:cs="Arial"/>
                <w:color w:val="FFFFFF"/>
                <w:sz w:val="12"/>
                <w:szCs w:val="18"/>
              </w:rPr>
              <w:t>DESCRIPCIÓN</w:t>
            </w:r>
          </w:p>
        </w:tc>
        <w:tc>
          <w:tcPr>
            <w:tcW w:w="499" w:type="pct"/>
            <w:shd w:val="clear" w:color="auto" w:fill="548DD4" w:themeFill="text2" w:themeFillTint="99"/>
            <w:vAlign w:val="center"/>
          </w:tcPr>
          <w:p w14:paraId="34910018" w14:textId="1A6E12A7" w:rsidR="003D3FBC" w:rsidRPr="00674D55" w:rsidRDefault="001A3E0A" w:rsidP="003D3FBC">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FFFFFF"/>
                <w:sz w:val="12"/>
                <w:szCs w:val="18"/>
              </w:rPr>
            </w:pPr>
            <w:r w:rsidRPr="00674D55">
              <w:rPr>
                <w:rFonts w:ascii="Selawik" w:hAnsi="Selawik" w:cs="Arial"/>
                <w:color w:val="FFFFFF"/>
                <w:sz w:val="12"/>
                <w:szCs w:val="18"/>
              </w:rPr>
              <w:t>META ANUAL</w:t>
            </w:r>
          </w:p>
        </w:tc>
        <w:tc>
          <w:tcPr>
            <w:tcW w:w="501" w:type="pct"/>
            <w:shd w:val="clear" w:color="auto" w:fill="548DD4" w:themeFill="text2" w:themeFillTint="99"/>
            <w:vAlign w:val="center"/>
          </w:tcPr>
          <w:p w14:paraId="39BD74F5" w14:textId="77777777" w:rsidR="003D3FBC" w:rsidRPr="00674D55" w:rsidRDefault="003D3FBC" w:rsidP="003D3FBC">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FFFFFF"/>
                <w:sz w:val="12"/>
                <w:szCs w:val="18"/>
              </w:rPr>
            </w:pPr>
            <w:r w:rsidRPr="00674D55">
              <w:rPr>
                <w:rFonts w:ascii="Selawik" w:hAnsi="Selawik" w:cs="Arial"/>
                <w:color w:val="FFFFFF"/>
                <w:sz w:val="12"/>
                <w:szCs w:val="18"/>
              </w:rPr>
              <w:t>RESULTADO EFECTIVO</w:t>
            </w:r>
          </w:p>
        </w:tc>
        <w:tc>
          <w:tcPr>
            <w:tcW w:w="643" w:type="pct"/>
            <w:shd w:val="clear" w:color="auto" w:fill="548DD4" w:themeFill="text2" w:themeFillTint="99"/>
            <w:vAlign w:val="center"/>
          </w:tcPr>
          <w:p w14:paraId="343CA57C" w14:textId="77777777" w:rsidR="003D3FBC" w:rsidRPr="00674D55" w:rsidRDefault="003D3FBC" w:rsidP="003D3FBC">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FFFFFF"/>
                <w:sz w:val="12"/>
                <w:szCs w:val="18"/>
              </w:rPr>
            </w:pPr>
            <w:r w:rsidRPr="00674D55">
              <w:rPr>
                <w:rFonts w:ascii="Selawik" w:hAnsi="Selawik" w:cs="Arial"/>
                <w:color w:val="FFFFFF"/>
                <w:sz w:val="12"/>
                <w:szCs w:val="18"/>
              </w:rPr>
              <w:t>ÍNDICE DE CUMPLIMIENTO</w:t>
            </w:r>
          </w:p>
        </w:tc>
      </w:tr>
      <w:tr w:rsidR="00062486" w:rsidRPr="00674D55" w14:paraId="059D2E53" w14:textId="77777777" w:rsidTr="00586896">
        <w:trPr>
          <w:cnfStyle w:val="000000100000" w:firstRow="0" w:lastRow="0" w:firstColumn="0" w:lastColumn="0" w:oddVBand="0" w:evenVBand="0" w:oddHBand="1" w:evenHBand="0" w:firstRowFirstColumn="0" w:firstRowLastColumn="0" w:lastRowFirstColumn="0" w:lastRowLastColumn="0"/>
          <w:trHeight w:val="1865"/>
          <w:jc w:val="center"/>
        </w:trPr>
        <w:tc>
          <w:tcPr>
            <w:cnfStyle w:val="001000000000" w:firstRow="0" w:lastRow="0" w:firstColumn="1" w:lastColumn="0" w:oddVBand="0" w:evenVBand="0" w:oddHBand="0" w:evenHBand="0" w:firstRowFirstColumn="0" w:firstRowLastColumn="0" w:lastRowFirstColumn="0" w:lastRowLastColumn="0"/>
            <w:tcW w:w="1140" w:type="pct"/>
            <w:tcBorders>
              <w:top w:val="none" w:sz="0" w:space="0" w:color="auto"/>
              <w:left w:val="none" w:sz="0" w:space="0" w:color="auto"/>
              <w:bottom w:val="none" w:sz="0" w:space="0" w:color="auto"/>
            </w:tcBorders>
            <w:shd w:val="clear" w:color="auto" w:fill="auto"/>
            <w:vAlign w:val="center"/>
          </w:tcPr>
          <w:p w14:paraId="01C736E3" w14:textId="77777777" w:rsidR="003D3FBC" w:rsidRPr="00062486" w:rsidRDefault="003D3FBC" w:rsidP="00DB72A2">
            <w:pPr>
              <w:pStyle w:val="Prrafodelista"/>
              <w:numPr>
                <w:ilvl w:val="0"/>
                <w:numId w:val="4"/>
              </w:numPr>
              <w:spacing w:after="0" w:line="240" w:lineRule="auto"/>
              <w:rPr>
                <w:rFonts w:ascii="Selawik" w:hAnsi="Selawik"/>
                <w:bCs w:val="0"/>
                <w:color w:val="000000" w:themeColor="text1"/>
                <w:sz w:val="16"/>
                <w:szCs w:val="16"/>
              </w:rPr>
            </w:pPr>
            <w:r w:rsidRPr="00062486">
              <w:rPr>
                <w:rFonts w:ascii="Selawik" w:hAnsi="Selawik"/>
                <w:bCs w:val="0"/>
                <w:color w:val="000000" w:themeColor="text1"/>
                <w:sz w:val="16"/>
                <w:szCs w:val="16"/>
              </w:rPr>
              <w:t>Porcentaje de toma de declaración en plazo establecido para los delitos definidos</w:t>
            </w:r>
          </w:p>
        </w:tc>
        <w:tc>
          <w:tcPr>
            <w:tcW w:w="2217" w:type="pct"/>
            <w:tcBorders>
              <w:top w:val="none" w:sz="0" w:space="0" w:color="auto"/>
              <w:bottom w:val="none" w:sz="0" w:space="0" w:color="auto"/>
            </w:tcBorders>
            <w:shd w:val="clear" w:color="auto" w:fill="auto"/>
            <w:vAlign w:val="center"/>
          </w:tcPr>
          <w:p w14:paraId="52914A40" w14:textId="2EC2B0D7" w:rsidR="003D3FBC" w:rsidRPr="00062486" w:rsidRDefault="007340CF" w:rsidP="00DB72A2">
            <w:pP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de casos ingresados en aquellos delitos definidos con víctimas que cuentan con la toma de declaración a la víctima, por parte de la Fiscalía, en un plazo inferior o igual a 30 días corridos desde la fecha de asignación a los equipos de tramitación) / (Número total de casos ingresados en aquellos delitos definidos con víctimas que se encuentran asignados a los equipos de tramitación, durante el año t) * 100</w:t>
            </w:r>
          </w:p>
        </w:tc>
        <w:tc>
          <w:tcPr>
            <w:tcW w:w="499" w:type="pct"/>
            <w:tcBorders>
              <w:top w:val="none" w:sz="0" w:space="0" w:color="auto"/>
              <w:bottom w:val="none" w:sz="0" w:space="0" w:color="auto"/>
            </w:tcBorders>
            <w:shd w:val="clear" w:color="auto" w:fill="auto"/>
            <w:vAlign w:val="center"/>
          </w:tcPr>
          <w:p w14:paraId="2ADA6467" w14:textId="2F07C0D4" w:rsidR="003D3FBC" w:rsidRPr="00062486" w:rsidRDefault="003D3FBC"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 xml:space="preserve">&gt;= </w:t>
            </w:r>
            <w:r w:rsidR="007340CF" w:rsidRPr="00062486">
              <w:rPr>
                <w:rFonts w:ascii="Selawik" w:hAnsi="Selawik" w:cs="Arial"/>
                <w:color w:val="000000" w:themeColor="text1"/>
                <w:sz w:val="16"/>
                <w:szCs w:val="16"/>
              </w:rPr>
              <w:t>60</w:t>
            </w:r>
            <w:r w:rsidRPr="00062486">
              <w:rPr>
                <w:rFonts w:ascii="Selawik" w:hAnsi="Selawik" w:cs="Arial"/>
                <w:color w:val="000000" w:themeColor="text1"/>
                <w:sz w:val="16"/>
                <w:szCs w:val="16"/>
              </w:rPr>
              <w:t>%</w:t>
            </w:r>
          </w:p>
        </w:tc>
        <w:tc>
          <w:tcPr>
            <w:tcW w:w="501" w:type="pct"/>
            <w:tcBorders>
              <w:top w:val="none" w:sz="0" w:space="0" w:color="auto"/>
              <w:bottom w:val="none" w:sz="0" w:space="0" w:color="auto"/>
            </w:tcBorders>
            <w:shd w:val="clear" w:color="auto" w:fill="auto"/>
            <w:vAlign w:val="center"/>
          </w:tcPr>
          <w:p w14:paraId="174A8429" w14:textId="3CD4FAEB" w:rsidR="003D3FBC" w:rsidRPr="00062486" w:rsidRDefault="00940EBC" w:rsidP="00940EBC">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Pr>
                <w:rFonts w:ascii="Selawik" w:hAnsi="Selawik" w:cs="Arial"/>
                <w:color w:val="000000" w:themeColor="text1"/>
                <w:sz w:val="16"/>
                <w:szCs w:val="16"/>
              </w:rPr>
              <w:t>67.</w:t>
            </w:r>
            <w:r w:rsidR="0087684B">
              <w:rPr>
                <w:rFonts w:ascii="Selawik" w:hAnsi="Selawik" w:cs="Arial"/>
                <w:color w:val="000000" w:themeColor="text1"/>
                <w:sz w:val="16"/>
                <w:szCs w:val="16"/>
              </w:rPr>
              <w:t>99</w:t>
            </w:r>
            <w:r w:rsidR="00B34A3F" w:rsidRPr="00062486">
              <w:rPr>
                <w:rFonts w:ascii="Selawik" w:hAnsi="Selawik" w:cs="Arial"/>
                <w:color w:val="000000" w:themeColor="text1"/>
                <w:sz w:val="16"/>
                <w:szCs w:val="16"/>
              </w:rPr>
              <w:t>%</w:t>
            </w:r>
          </w:p>
        </w:tc>
        <w:tc>
          <w:tcPr>
            <w:tcW w:w="643" w:type="pct"/>
            <w:tcBorders>
              <w:top w:val="none" w:sz="0" w:space="0" w:color="auto"/>
              <w:bottom w:val="none" w:sz="0" w:space="0" w:color="auto"/>
              <w:right w:val="none" w:sz="0" w:space="0" w:color="auto"/>
            </w:tcBorders>
            <w:shd w:val="clear" w:color="auto" w:fill="auto"/>
            <w:vAlign w:val="center"/>
          </w:tcPr>
          <w:p w14:paraId="20BCC9FA" w14:textId="58A61C6C" w:rsidR="003D3FBC" w:rsidRPr="00062486" w:rsidRDefault="00B34A3F"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1</w:t>
            </w:r>
            <w:r w:rsidR="00940EBC">
              <w:rPr>
                <w:rFonts w:ascii="Selawik" w:hAnsi="Selawik" w:cs="Arial"/>
                <w:color w:val="000000" w:themeColor="text1"/>
                <w:sz w:val="16"/>
                <w:szCs w:val="16"/>
              </w:rPr>
              <w:t>1</w:t>
            </w:r>
            <w:r w:rsidR="0087684B">
              <w:rPr>
                <w:rFonts w:ascii="Selawik" w:hAnsi="Selawik" w:cs="Arial"/>
                <w:color w:val="000000" w:themeColor="text1"/>
                <w:sz w:val="16"/>
                <w:szCs w:val="16"/>
              </w:rPr>
              <w:t>3</w:t>
            </w:r>
            <w:r w:rsidRPr="00062486">
              <w:rPr>
                <w:rFonts w:ascii="Selawik" w:hAnsi="Selawik" w:cs="Arial"/>
                <w:color w:val="000000" w:themeColor="text1"/>
                <w:sz w:val="16"/>
                <w:szCs w:val="16"/>
              </w:rPr>
              <w:t>,</w:t>
            </w:r>
            <w:r w:rsidR="0087684B">
              <w:rPr>
                <w:rFonts w:ascii="Selawik" w:hAnsi="Selawik" w:cs="Arial"/>
                <w:color w:val="000000" w:themeColor="text1"/>
                <w:sz w:val="16"/>
                <w:szCs w:val="16"/>
              </w:rPr>
              <w:t>3</w:t>
            </w:r>
            <w:r w:rsidRPr="00062486">
              <w:rPr>
                <w:rFonts w:ascii="Selawik" w:hAnsi="Selawik" w:cs="Arial"/>
                <w:color w:val="000000" w:themeColor="text1"/>
                <w:sz w:val="16"/>
                <w:szCs w:val="16"/>
              </w:rPr>
              <w:t>%</w:t>
            </w:r>
          </w:p>
        </w:tc>
      </w:tr>
      <w:tr w:rsidR="00062486" w:rsidRPr="00674D55" w14:paraId="3F4F0E8D" w14:textId="77777777" w:rsidTr="00062486">
        <w:trPr>
          <w:trHeight w:val="1676"/>
          <w:jc w:val="center"/>
        </w:trPr>
        <w:tc>
          <w:tcPr>
            <w:cnfStyle w:val="001000000000" w:firstRow="0" w:lastRow="0" w:firstColumn="1" w:lastColumn="0" w:oddVBand="0" w:evenVBand="0" w:oddHBand="0" w:evenHBand="0" w:firstRowFirstColumn="0" w:firstRowLastColumn="0" w:lastRowFirstColumn="0" w:lastRowLastColumn="0"/>
            <w:tcW w:w="1140" w:type="pct"/>
            <w:vAlign w:val="center"/>
          </w:tcPr>
          <w:p w14:paraId="7A06E9F6" w14:textId="007C2C08" w:rsidR="002A02DE" w:rsidRPr="00062486" w:rsidRDefault="007340CF" w:rsidP="00DB72A2">
            <w:pPr>
              <w:pStyle w:val="Prrafodelista"/>
              <w:numPr>
                <w:ilvl w:val="0"/>
                <w:numId w:val="4"/>
              </w:numPr>
              <w:spacing w:after="0" w:line="240" w:lineRule="auto"/>
              <w:rPr>
                <w:rFonts w:ascii="Selawik" w:hAnsi="Selawik"/>
                <w:bCs w:val="0"/>
                <w:iCs/>
                <w:color w:val="000000" w:themeColor="text1"/>
                <w:sz w:val="16"/>
                <w:szCs w:val="16"/>
              </w:rPr>
            </w:pPr>
            <w:bookmarkStart w:id="2" w:name="_Toc163661997"/>
            <w:r w:rsidRPr="00062486">
              <w:rPr>
                <w:rFonts w:ascii="Selawik" w:hAnsi="Selawik"/>
                <w:iCs/>
                <w:color w:val="000000" w:themeColor="text1"/>
                <w:sz w:val="16"/>
                <w:szCs w:val="16"/>
              </w:rPr>
              <w:t>Solicitud oportuna de instrucciones en los procedimientos asociados a los equipos de crimen organizado y homicidios (ECOH)</w:t>
            </w:r>
            <w:bookmarkEnd w:id="2"/>
          </w:p>
        </w:tc>
        <w:tc>
          <w:tcPr>
            <w:tcW w:w="2217" w:type="pct"/>
            <w:vAlign w:val="center"/>
          </w:tcPr>
          <w:p w14:paraId="764A6AF7" w14:textId="4CD3440B" w:rsidR="002A02DE" w:rsidRPr="00062486" w:rsidRDefault="007340CF" w:rsidP="00DB72A2">
            <w:pP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bCs/>
                <w:color w:val="000000" w:themeColor="text1"/>
                <w:sz w:val="16"/>
                <w:szCs w:val="16"/>
              </w:rPr>
              <w:t>(Número de folios ingresados a los ECOH en el año t, y que cuentan con al menos ocho solicitudes de instrucciones registradas en el sistema, en el plazo definido / número de folios ingresados a los ECOH en el año t, en el periodo) *100</w:t>
            </w:r>
          </w:p>
        </w:tc>
        <w:tc>
          <w:tcPr>
            <w:tcW w:w="499" w:type="pct"/>
            <w:vAlign w:val="center"/>
          </w:tcPr>
          <w:p w14:paraId="1FF67573" w14:textId="77777777" w:rsidR="002A02DE" w:rsidRPr="00062486" w:rsidRDefault="002A02DE"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Monitoreo</w:t>
            </w:r>
          </w:p>
        </w:tc>
        <w:tc>
          <w:tcPr>
            <w:tcW w:w="501" w:type="pct"/>
            <w:vAlign w:val="center"/>
          </w:tcPr>
          <w:p w14:paraId="4D049006" w14:textId="70CE8977" w:rsidR="002A02DE" w:rsidRPr="00062486" w:rsidRDefault="0087684B"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Pr>
                <w:rFonts w:ascii="Selawik" w:hAnsi="Selawik" w:cs="Arial"/>
                <w:color w:val="000000" w:themeColor="text1"/>
                <w:sz w:val="16"/>
                <w:szCs w:val="16"/>
              </w:rPr>
              <w:t>19</w:t>
            </w:r>
            <w:r w:rsidR="000E368D" w:rsidRPr="00062486">
              <w:rPr>
                <w:rFonts w:ascii="Selawik" w:hAnsi="Selawik" w:cs="Arial"/>
                <w:color w:val="000000" w:themeColor="text1"/>
                <w:sz w:val="16"/>
                <w:szCs w:val="16"/>
              </w:rPr>
              <w:t>.</w:t>
            </w:r>
            <w:r w:rsidR="00940EBC">
              <w:rPr>
                <w:rFonts w:ascii="Selawik" w:hAnsi="Selawik" w:cs="Arial"/>
                <w:color w:val="000000" w:themeColor="text1"/>
                <w:sz w:val="16"/>
                <w:szCs w:val="16"/>
              </w:rPr>
              <w:t>2</w:t>
            </w:r>
            <w:r>
              <w:rPr>
                <w:rFonts w:ascii="Selawik" w:hAnsi="Selawik" w:cs="Arial"/>
                <w:color w:val="000000" w:themeColor="text1"/>
                <w:sz w:val="16"/>
                <w:szCs w:val="16"/>
              </w:rPr>
              <w:t>3</w:t>
            </w:r>
            <w:r w:rsidR="00022785" w:rsidRPr="00062486">
              <w:rPr>
                <w:rFonts w:ascii="Selawik" w:hAnsi="Selawik" w:cs="Arial"/>
                <w:color w:val="000000" w:themeColor="text1"/>
                <w:sz w:val="16"/>
                <w:szCs w:val="16"/>
              </w:rPr>
              <w:t>%</w:t>
            </w:r>
          </w:p>
        </w:tc>
        <w:tc>
          <w:tcPr>
            <w:tcW w:w="643" w:type="pct"/>
            <w:vAlign w:val="center"/>
          </w:tcPr>
          <w:p w14:paraId="43160873" w14:textId="77777777" w:rsidR="002A02DE" w:rsidRPr="00062486" w:rsidRDefault="002A02DE"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5C01CF95" w14:textId="77777777" w:rsidTr="00586896">
        <w:trPr>
          <w:cnfStyle w:val="000000100000" w:firstRow="0" w:lastRow="0" w:firstColumn="0" w:lastColumn="0" w:oddVBand="0" w:evenVBand="0" w:oddHBand="1" w:evenHBand="0" w:firstRowFirstColumn="0" w:firstRowLastColumn="0" w:lastRowFirstColumn="0" w:lastRowLastColumn="0"/>
          <w:trHeight w:val="1698"/>
          <w:jc w:val="center"/>
        </w:trPr>
        <w:tc>
          <w:tcPr>
            <w:cnfStyle w:val="001000000000" w:firstRow="0" w:lastRow="0" w:firstColumn="1" w:lastColumn="0" w:oddVBand="0" w:evenVBand="0" w:oddHBand="0" w:evenHBand="0" w:firstRowFirstColumn="0" w:firstRowLastColumn="0" w:lastRowFirstColumn="0" w:lastRowLastColumn="0"/>
            <w:tcW w:w="1140" w:type="pct"/>
            <w:tcBorders>
              <w:top w:val="none" w:sz="0" w:space="0" w:color="auto"/>
              <w:left w:val="none" w:sz="0" w:space="0" w:color="auto"/>
              <w:bottom w:val="none" w:sz="0" w:space="0" w:color="auto"/>
            </w:tcBorders>
            <w:vAlign w:val="center"/>
          </w:tcPr>
          <w:p w14:paraId="56EE0AD7" w14:textId="2F817E34" w:rsidR="002A02DE" w:rsidRPr="00062486" w:rsidRDefault="002A02DE" w:rsidP="00DB72A2">
            <w:pPr>
              <w:pStyle w:val="Prrafodelista"/>
              <w:numPr>
                <w:ilvl w:val="0"/>
                <w:numId w:val="4"/>
              </w:numPr>
              <w:spacing w:after="0" w:line="240" w:lineRule="auto"/>
              <w:rPr>
                <w:rFonts w:ascii="Selawik" w:hAnsi="Selawik"/>
                <w:bCs w:val="0"/>
                <w:color w:val="000000" w:themeColor="text1"/>
                <w:sz w:val="16"/>
                <w:szCs w:val="16"/>
              </w:rPr>
            </w:pPr>
            <w:r w:rsidRPr="00062486">
              <w:rPr>
                <w:rFonts w:ascii="Selawik" w:hAnsi="Selawik"/>
                <w:bCs w:val="0"/>
                <w:color w:val="000000" w:themeColor="text1"/>
                <w:sz w:val="16"/>
                <w:szCs w:val="16"/>
              </w:rPr>
              <w:t>Porcentaje de sentencias condenatorias</w:t>
            </w:r>
            <w:r w:rsidR="007340CF" w:rsidRPr="00062486">
              <w:rPr>
                <w:rFonts w:ascii="Selawik" w:hAnsi="Selawik"/>
                <w:bCs w:val="0"/>
                <w:color w:val="000000" w:themeColor="text1"/>
                <w:sz w:val="16"/>
                <w:szCs w:val="16"/>
              </w:rPr>
              <w:t xml:space="preserve"> en procedimiento ordinario, simplificado y abreviados</w:t>
            </w:r>
          </w:p>
        </w:tc>
        <w:tc>
          <w:tcPr>
            <w:tcW w:w="2217" w:type="pct"/>
            <w:tcBorders>
              <w:top w:val="none" w:sz="0" w:space="0" w:color="auto"/>
              <w:bottom w:val="none" w:sz="0" w:space="0" w:color="auto"/>
            </w:tcBorders>
            <w:vAlign w:val="center"/>
          </w:tcPr>
          <w:p w14:paraId="0522CF39" w14:textId="480B3BD5" w:rsidR="002A02DE" w:rsidRPr="00062486" w:rsidRDefault="007340CF" w:rsidP="00DB72A2">
            <w:pP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bCs/>
                <w:color w:val="000000" w:themeColor="text1"/>
                <w:sz w:val="16"/>
                <w:szCs w:val="16"/>
              </w:rPr>
              <w:t>(Número de relaciones concluidas por sentencia definitiva condenatoria en procedimiento ordinario, abreviado y simplificado / Número de relaciones con Imputado conocido concluidas o suspendidas por salida judicial, en el periodo) * 100.</w:t>
            </w:r>
          </w:p>
        </w:tc>
        <w:tc>
          <w:tcPr>
            <w:tcW w:w="499" w:type="pct"/>
            <w:tcBorders>
              <w:top w:val="none" w:sz="0" w:space="0" w:color="auto"/>
              <w:bottom w:val="none" w:sz="0" w:space="0" w:color="auto"/>
            </w:tcBorders>
            <w:vAlign w:val="center"/>
          </w:tcPr>
          <w:p w14:paraId="23746D83" w14:textId="77777777" w:rsidR="002A02DE" w:rsidRPr="00062486" w:rsidRDefault="002A02DE"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Monitoreo</w:t>
            </w:r>
          </w:p>
        </w:tc>
        <w:tc>
          <w:tcPr>
            <w:tcW w:w="501" w:type="pct"/>
            <w:tcBorders>
              <w:top w:val="none" w:sz="0" w:space="0" w:color="auto"/>
              <w:bottom w:val="none" w:sz="0" w:space="0" w:color="auto"/>
            </w:tcBorders>
            <w:vAlign w:val="center"/>
          </w:tcPr>
          <w:p w14:paraId="449A1015" w14:textId="20BDD354" w:rsidR="002A02DE" w:rsidRPr="00062486" w:rsidRDefault="000E368D"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2</w:t>
            </w:r>
            <w:r w:rsidR="0087684B">
              <w:rPr>
                <w:rFonts w:ascii="Selawik" w:hAnsi="Selawik" w:cs="Arial"/>
                <w:color w:val="000000" w:themeColor="text1"/>
                <w:sz w:val="16"/>
                <w:szCs w:val="16"/>
              </w:rPr>
              <w:t>7</w:t>
            </w:r>
            <w:r w:rsidRPr="00062486">
              <w:rPr>
                <w:rFonts w:ascii="Selawik" w:hAnsi="Selawik" w:cs="Arial"/>
                <w:color w:val="000000" w:themeColor="text1"/>
                <w:sz w:val="16"/>
                <w:szCs w:val="16"/>
              </w:rPr>
              <w:t>.</w:t>
            </w:r>
            <w:r w:rsidR="00940EBC">
              <w:rPr>
                <w:rFonts w:ascii="Selawik" w:hAnsi="Selawik" w:cs="Arial"/>
                <w:color w:val="000000" w:themeColor="text1"/>
                <w:sz w:val="16"/>
                <w:szCs w:val="16"/>
              </w:rPr>
              <w:t>5</w:t>
            </w:r>
            <w:r w:rsidR="0087684B">
              <w:rPr>
                <w:rFonts w:ascii="Selawik" w:hAnsi="Selawik" w:cs="Arial"/>
                <w:color w:val="000000" w:themeColor="text1"/>
                <w:sz w:val="16"/>
                <w:szCs w:val="16"/>
              </w:rPr>
              <w:t>5</w:t>
            </w:r>
            <w:r w:rsidR="00B34A3F" w:rsidRPr="00062486">
              <w:rPr>
                <w:rFonts w:ascii="Selawik" w:hAnsi="Selawik" w:cs="Arial"/>
                <w:color w:val="000000" w:themeColor="text1"/>
                <w:sz w:val="16"/>
                <w:szCs w:val="16"/>
              </w:rPr>
              <w:t>%</w:t>
            </w:r>
          </w:p>
        </w:tc>
        <w:tc>
          <w:tcPr>
            <w:tcW w:w="643" w:type="pct"/>
            <w:tcBorders>
              <w:top w:val="none" w:sz="0" w:space="0" w:color="auto"/>
              <w:bottom w:val="none" w:sz="0" w:space="0" w:color="auto"/>
              <w:right w:val="none" w:sz="0" w:space="0" w:color="auto"/>
            </w:tcBorders>
            <w:vAlign w:val="center"/>
          </w:tcPr>
          <w:p w14:paraId="6567D922" w14:textId="77777777" w:rsidR="002A02DE" w:rsidRPr="00062486" w:rsidRDefault="002A02DE"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7B633D46" w14:textId="77777777" w:rsidTr="00062486">
        <w:trPr>
          <w:trHeight w:val="2539"/>
          <w:jc w:val="center"/>
        </w:trPr>
        <w:tc>
          <w:tcPr>
            <w:cnfStyle w:val="001000000000" w:firstRow="0" w:lastRow="0" w:firstColumn="1" w:lastColumn="0" w:oddVBand="0" w:evenVBand="0" w:oddHBand="0" w:evenHBand="0" w:firstRowFirstColumn="0" w:firstRowLastColumn="0" w:lastRowFirstColumn="0" w:lastRowLastColumn="0"/>
            <w:tcW w:w="1140" w:type="pct"/>
            <w:vAlign w:val="center"/>
          </w:tcPr>
          <w:p w14:paraId="4C8565FD" w14:textId="2371D02E" w:rsidR="002A02DE" w:rsidRPr="00062486" w:rsidRDefault="00674D55" w:rsidP="00DB72A2">
            <w:pPr>
              <w:pStyle w:val="Prrafodelista"/>
              <w:numPr>
                <w:ilvl w:val="0"/>
                <w:numId w:val="4"/>
              </w:numPr>
              <w:spacing w:after="0" w:line="240" w:lineRule="auto"/>
              <w:rPr>
                <w:rFonts w:ascii="Selawik" w:hAnsi="Selawik"/>
                <w:bCs w:val="0"/>
                <w:i/>
                <w:color w:val="000000" w:themeColor="text1"/>
                <w:sz w:val="16"/>
                <w:szCs w:val="16"/>
              </w:rPr>
            </w:pPr>
            <w:bookmarkStart w:id="3" w:name="_Toc163661999"/>
            <w:r w:rsidRPr="00062486">
              <w:rPr>
                <w:rFonts w:ascii="Selawik" w:hAnsi="Selawik"/>
                <w:bCs w:val="0"/>
                <w:color w:val="000000" w:themeColor="text1"/>
                <w:sz w:val="16"/>
                <w:szCs w:val="16"/>
              </w:rPr>
              <w:t>Porcentaje de relaciones concluidas por archivo provisional con imputado conocido respecto del total de relaciones concluidas o suspendidas con imputado conocido en salidas judiciales y no judiciales.</w:t>
            </w:r>
            <w:bookmarkEnd w:id="3"/>
          </w:p>
        </w:tc>
        <w:tc>
          <w:tcPr>
            <w:tcW w:w="2217" w:type="pct"/>
            <w:vAlign w:val="center"/>
          </w:tcPr>
          <w:p w14:paraId="34A6731A" w14:textId="2FF2364D" w:rsidR="002A02DE" w:rsidRPr="00062486" w:rsidRDefault="007340CF" w:rsidP="00DB72A2">
            <w:pP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de relaciones con archivo provisional que cuentan con imputado conocido, en el periodo) / (Total de relaciones concluidas o suspendidas en el periodo por Salidas judiciales y no judiciales, con imputado conocido) * 100</w:t>
            </w:r>
          </w:p>
        </w:tc>
        <w:tc>
          <w:tcPr>
            <w:tcW w:w="499" w:type="pct"/>
            <w:vAlign w:val="center"/>
          </w:tcPr>
          <w:p w14:paraId="709A7E44" w14:textId="77777777" w:rsidR="002A02DE" w:rsidRPr="00062486" w:rsidRDefault="002A02DE"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Monitoreo</w:t>
            </w:r>
          </w:p>
        </w:tc>
        <w:tc>
          <w:tcPr>
            <w:tcW w:w="501" w:type="pct"/>
            <w:vAlign w:val="center"/>
          </w:tcPr>
          <w:p w14:paraId="71EADE07" w14:textId="3229FFC2" w:rsidR="002A02DE" w:rsidRPr="00062486" w:rsidRDefault="000E368D"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2</w:t>
            </w:r>
            <w:r w:rsidR="0087684B">
              <w:rPr>
                <w:rFonts w:ascii="Selawik" w:hAnsi="Selawik" w:cs="Arial"/>
                <w:color w:val="000000" w:themeColor="text1"/>
                <w:sz w:val="16"/>
                <w:szCs w:val="16"/>
              </w:rPr>
              <w:t>5</w:t>
            </w:r>
            <w:r w:rsidRPr="00062486">
              <w:rPr>
                <w:rFonts w:ascii="Selawik" w:hAnsi="Selawik" w:cs="Arial"/>
                <w:color w:val="000000" w:themeColor="text1"/>
                <w:sz w:val="16"/>
                <w:szCs w:val="16"/>
              </w:rPr>
              <w:t>.</w:t>
            </w:r>
            <w:r w:rsidR="0087684B">
              <w:rPr>
                <w:rFonts w:ascii="Selawik" w:hAnsi="Selawik" w:cs="Arial"/>
                <w:color w:val="000000" w:themeColor="text1"/>
                <w:sz w:val="16"/>
                <w:szCs w:val="16"/>
              </w:rPr>
              <w:t>37</w:t>
            </w:r>
            <w:r w:rsidR="00B34A3F" w:rsidRPr="00062486">
              <w:rPr>
                <w:rFonts w:ascii="Selawik" w:hAnsi="Selawik" w:cs="Arial"/>
                <w:color w:val="000000" w:themeColor="text1"/>
                <w:sz w:val="16"/>
                <w:szCs w:val="16"/>
              </w:rPr>
              <w:t>%</w:t>
            </w:r>
          </w:p>
        </w:tc>
        <w:tc>
          <w:tcPr>
            <w:tcW w:w="643" w:type="pct"/>
            <w:vAlign w:val="center"/>
          </w:tcPr>
          <w:p w14:paraId="5A549EF7" w14:textId="77777777" w:rsidR="002A02DE" w:rsidRPr="00062486" w:rsidRDefault="002A02DE"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7CB7E343" w14:textId="77777777" w:rsidTr="00586896">
        <w:trPr>
          <w:cnfStyle w:val="000000100000" w:firstRow="0" w:lastRow="0" w:firstColumn="0" w:lastColumn="0" w:oddVBand="0" w:evenVBand="0" w:oddHBand="1" w:evenHBand="0" w:firstRowFirstColumn="0" w:firstRowLastColumn="0" w:lastRowFirstColumn="0" w:lastRowLastColumn="0"/>
          <w:trHeight w:val="1101"/>
          <w:jc w:val="center"/>
        </w:trPr>
        <w:tc>
          <w:tcPr>
            <w:cnfStyle w:val="001000000000" w:firstRow="0" w:lastRow="0" w:firstColumn="1" w:lastColumn="0" w:oddVBand="0" w:evenVBand="0" w:oddHBand="0" w:evenHBand="0" w:firstRowFirstColumn="0" w:firstRowLastColumn="0" w:lastRowFirstColumn="0" w:lastRowLastColumn="0"/>
            <w:tcW w:w="1140" w:type="pct"/>
            <w:tcBorders>
              <w:top w:val="none" w:sz="0" w:space="0" w:color="auto"/>
              <w:left w:val="none" w:sz="0" w:space="0" w:color="auto"/>
              <w:bottom w:val="none" w:sz="0" w:space="0" w:color="auto"/>
            </w:tcBorders>
            <w:vAlign w:val="center"/>
          </w:tcPr>
          <w:p w14:paraId="29329493" w14:textId="66705656" w:rsidR="002A02DE" w:rsidRPr="00062486" w:rsidRDefault="002A02DE" w:rsidP="00DB72A2">
            <w:pPr>
              <w:pStyle w:val="Prrafodelista"/>
              <w:numPr>
                <w:ilvl w:val="0"/>
                <w:numId w:val="4"/>
              </w:numPr>
              <w:spacing w:after="0" w:line="240" w:lineRule="auto"/>
              <w:rPr>
                <w:rFonts w:ascii="Selawik" w:hAnsi="Selawik"/>
                <w:bCs w:val="0"/>
                <w:color w:val="000000" w:themeColor="text1"/>
                <w:sz w:val="16"/>
                <w:szCs w:val="16"/>
              </w:rPr>
            </w:pPr>
            <w:r w:rsidRPr="00062486">
              <w:rPr>
                <w:rFonts w:ascii="Selawik" w:hAnsi="Selawik"/>
                <w:bCs w:val="0"/>
                <w:color w:val="000000" w:themeColor="text1"/>
                <w:sz w:val="16"/>
                <w:szCs w:val="16"/>
              </w:rPr>
              <w:t>Porcentaje de</w:t>
            </w:r>
            <w:r w:rsidR="007340CF" w:rsidRPr="00062486">
              <w:rPr>
                <w:rFonts w:ascii="Selawik" w:hAnsi="Selawik"/>
                <w:bCs w:val="0"/>
                <w:color w:val="000000" w:themeColor="text1"/>
                <w:sz w:val="16"/>
                <w:szCs w:val="16"/>
              </w:rPr>
              <w:t xml:space="preserve"> relaciones concluidas por DNP, PO, FNI con imputado conocido</w:t>
            </w:r>
          </w:p>
        </w:tc>
        <w:tc>
          <w:tcPr>
            <w:tcW w:w="2217" w:type="pct"/>
            <w:tcBorders>
              <w:top w:val="none" w:sz="0" w:space="0" w:color="auto"/>
              <w:bottom w:val="none" w:sz="0" w:space="0" w:color="auto"/>
            </w:tcBorders>
            <w:vAlign w:val="center"/>
          </w:tcPr>
          <w:p w14:paraId="147AA5D8" w14:textId="7B42E9CA" w:rsidR="002A02DE" w:rsidRPr="00062486" w:rsidRDefault="007340CF" w:rsidP="00DB72A2">
            <w:pP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de relaciones con PO, DNP, FNI que cuentan con imputado conocido, en el periodo) / (total de relaciones concluidas o suspendidas en el periodo por salidas judiciales y no judiciales, con imputado conocido) * 100</w:t>
            </w:r>
          </w:p>
        </w:tc>
        <w:tc>
          <w:tcPr>
            <w:tcW w:w="499" w:type="pct"/>
            <w:tcBorders>
              <w:top w:val="none" w:sz="0" w:space="0" w:color="auto"/>
              <w:bottom w:val="none" w:sz="0" w:space="0" w:color="auto"/>
            </w:tcBorders>
            <w:vAlign w:val="center"/>
          </w:tcPr>
          <w:p w14:paraId="40390C29" w14:textId="77777777" w:rsidR="002A02DE" w:rsidRPr="00062486" w:rsidRDefault="002A02DE"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Monitoreo</w:t>
            </w:r>
          </w:p>
        </w:tc>
        <w:tc>
          <w:tcPr>
            <w:tcW w:w="501" w:type="pct"/>
            <w:tcBorders>
              <w:top w:val="none" w:sz="0" w:space="0" w:color="auto"/>
              <w:bottom w:val="none" w:sz="0" w:space="0" w:color="auto"/>
            </w:tcBorders>
            <w:vAlign w:val="center"/>
          </w:tcPr>
          <w:p w14:paraId="67945FAD" w14:textId="27D5B47E" w:rsidR="002A02DE" w:rsidRPr="00062486" w:rsidRDefault="000E368D"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2</w:t>
            </w:r>
            <w:r w:rsidR="0087684B">
              <w:rPr>
                <w:rFonts w:ascii="Selawik" w:hAnsi="Selawik" w:cs="Arial"/>
                <w:color w:val="000000" w:themeColor="text1"/>
                <w:sz w:val="16"/>
                <w:szCs w:val="16"/>
              </w:rPr>
              <w:t>5</w:t>
            </w:r>
            <w:r w:rsidRPr="00062486">
              <w:rPr>
                <w:rFonts w:ascii="Selawik" w:hAnsi="Selawik" w:cs="Arial"/>
                <w:color w:val="000000" w:themeColor="text1"/>
                <w:sz w:val="16"/>
                <w:szCs w:val="16"/>
              </w:rPr>
              <w:t>.</w:t>
            </w:r>
            <w:r w:rsidR="0087684B">
              <w:rPr>
                <w:rFonts w:ascii="Selawik" w:hAnsi="Selawik" w:cs="Arial"/>
                <w:color w:val="000000" w:themeColor="text1"/>
                <w:sz w:val="16"/>
                <w:szCs w:val="16"/>
              </w:rPr>
              <w:t>94</w:t>
            </w:r>
            <w:r w:rsidR="00B34A3F" w:rsidRPr="00062486">
              <w:rPr>
                <w:rFonts w:ascii="Selawik" w:hAnsi="Selawik" w:cs="Arial"/>
                <w:color w:val="000000" w:themeColor="text1"/>
                <w:sz w:val="16"/>
                <w:szCs w:val="16"/>
              </w:rPr>
              <w:t>%</w:t>
            </w:r>
          </w:p>
        </w:tc>
        <w:tc>
          <w:tcPr>
            <w:tcW w:w="643" w:type="pct"/>
            <w:tcBorders>
              <w:top w:val="none" w:sz="0" w:space="0" w:color="auto"/>
              <w:bottom w:val="none" w:sz="0" w:space="0" w:color="auto"/>
              <w:right w:val="none" w:sz="0" w:space="0" w:color="auto"/>
            </w:tcBorders>
            <w:vAlign w:val="center"/>
          </w:tcPr>
          <w:p w14:paraId="4227676F" w14:textId="77777777" w:rsidR="002A02DE" w:rsidRPr="00062486" w:rsidRDefault="002A02DE"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008C024C" w14:textId="77777777" w:rsidTr="00062486">
        <w:trPr>
          <w:trHeight w:val="1247"/>
          <w:jc w:val="center"/>
        </w:trPr>
        <w:tc>
          <w:tcPr>
            <w:cnfStyle w:val="001000000000" w:firstRow="0" w:lastRow="0" w:firstColumn="1" w:lastColumn="0" w:oddVBand="0" w:evenVBand="0" w:oddHBand="0" w:evenHBand="0" w:firstRowFirstColumn="0" w:firstRowLastColumn="0" w:lastRowFirstColumn="0" w:lastRowLastColumn="0"/>
            <w:tcW w:w="1140" w:type="pct"/>
            <w:vAlign w:val="center"/>
          </w:tcPr>
          <w:p w14:paraId="077B6AAB" w14:textId="498B434D" w:rsidR="00F82EE8" w:rsidRPr="00062486" w:rsidRDefault="00F82EE8" w:rsidP="00DB72A2">
            <w:pPr>
              <w:pStyle w:val="Prrafodelista"/>
              <w:numPr>
                <w:ilvl w:val="0"/>
                <w:numId w:val="4"/>
              </w:numPr>
              <w:spacing w:after="0" w:line="240" w:lineRule="auto"/>
              <w:rPr>
                <w:rFonts w:ascii="Selawik" w:hAnsi="Selawik"/>
                <w:color w:val="000000" w:themeColor="text1"/>
                <w:sz w:val="16"/>
                <w:szCs w:val="16"/>
              </w:rPr>
            </w:pPr>
            <w:r w:rsidRPr="00062486">
              <w:rPr>
                <w:rFonts w:ascii="Selawik" w:hAnsi="Selawik"/>
                <w:color w:val="000000" w:themeColor="text1"/>
                <w:sz w:val="16"/>
                <w:szCs w:val="16"/>
              </w:rPr>
              <w:t>Porcentaje de casos vigentes con imputado conocido respecto del total de casos vigentes</w:t>
            </w:r>
          </w:p>
        </w:tc>
        <w:tc>
          <w:tcPr>
            <w:tcW w:w="2217" w:type="pct"/>
            <w:vAlign w:val="center"/>
          </w:tcPr>
          <w:p w14:paraId="24B7CEA1" w14:textId="4026BD70" w:rsidR="00F82EE8" w:rsidRPr="00062486" w:rsidRDefault="00F82EE8" w:rsidP="00DB72A2">
            <w:pP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de causas vigentes con imputado conocido registrada) / (Número de causas vigentes) * 100</w:t>
            </w:r>
          </w:p>
        </w:tc>
        <w:tc>
          <w:tcPr>
            <w:tcW w:w="499" w:type="pct"/>
            <w:vAlign w:val="center"/>
          </w:tcPr>
          <w:p w14:paraId="3A7ECC48" w14:textId="1D27828C" w:rsidR="00F82EE8" w:rsidRPr="00062486" w:rsidRDefault="00F82EE8"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Monitoreo</w:t>
            </w:r>
          </w:p>
        </w:tc>
        <w:tc>
          <w:tcPr>
            <w:tcW w:w="501" w:type="pct"/>
            <w:vAlign w:val="center"/>
          </w:tcPr>
          <w:p w14:paraId="2D6FBF2C" w14:textId="2CEBD1C4" w:rsidR="00F82EE8" w:rsidRPr="00062486" w:rsidRDefault="000E368D"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6</w:t>
            </w:r>
            <w:r w:rsidR="0087684B">
              <w:rPr>
                <w:rFonts w:ascii="Selawik" w:hAnsi="Selawik" w:cs="Arial"/>
                <w:color w:val="000000" w:themeColor="text1"/>
                <w:sz w:val="16"/>
                <w:szCs w:val="16"/>
              </w:rPr>
              <w:t>1.11</w:t>
            </w:r>
            <w:r w:rsidRPr="00062486">
              <w:rPr>
                <w:rFonts w:ascii="Selawik" w:hAnsi="Selawik" w:cs="Arial"/>
                <w:color w:val="000000" w:themeColor="text1"/>
                <w:sz w:val="16"/>
                <w:szCs w:val="16"/>
              </w:rPr>
              <w:t>%</w:t>
            </w:r>
          </w:p>
        </w:tc>
        <w:tc>
          <w:tcPr>
            <w:tcW w:w="643" w:type="pct"/>
            <w:vAlign w:val="center"/>
          </w:tcPr>
          <w:p w14:paraId="3305CCBB" w14:textId="5FBB0D59" w:rsidR="00F82EE8" w:rsidRPr="00062486" w:rsidRDefault="000E368D" w:rsidP="00DB72A2">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400435D6" w14:textId="77777777" w:rsidTr="00586896">
        <w:trPr>
          <w:cnfStyle w:val="000000100000" w:firstRow="0" w:lastRow="0" w:firstColumn="0" w:lastColumn="0" w:oddVBand="0" w:evenVBand="0" w:oddHBand="1" w:evenHBand="0" w:firstRowFirstColumn="0" w:firstRowLastColumn="0" w:lastRowFirstColumn="0" w:lastRowLastColumn="0"/>
          <w:trHeight w:val="693"/>
          <w:jc w:val="center"/>
        </w:trPr>
        <w:tc>
          <w:tcPr>
            <w:cnfStyle w:val="001000000000" w:firstRow="0" w:lastRow="0" w:firstColumn="1" w:lastColumn="0" w:oddVBand="0" w:evenVBand="0" w:oddHBand="0" w:evenHBand="0" w:firstRowFirstColumn="0" w:firstRowLastColumn="0" w:lastRowFirstColumn="0" w:lastRowLastColumn="0"/>
            <w:tcW w:w="1140" w:type="pct"/>
            <w:tcBorders>
              <w:top w:val="none" w:sz="0" w:space="0" w:color="auto"/>
              <w:left w:val="none" w:sz="0" w:space="0" w:color="auto"/>
              <w:bottom w:val="none" w:sz="0" w:space="0" w:color="auto"/>
            </w:tcBorders>
            <w:vAlign w:val="center"/>
          </w:tcPr>
          <w:p w14:paraId="35968EA8" w14:textId="77777777" w:rsidR="002A02DE" w:rsidRPr="00062486" w:rsidRDefault="002A02DE" w:rsidP="00DB72A2">
            <w:pPr>
              <w:pStyle w:val="Prrafodelista"/>
              <w:numPr>
                <w:ilvl w:val="0"/>
                <w:numId w:val="4"/>
              </w:numPr>
              <w:spacing w:after="0" w:line="240" w:lineRule="auto"/>
              <w:rPr>
                <w:rFonts w:ascii="Selawik" w:hAnsi="Selawik"/>
                <w:bCs w:val="0"/>
                <w:color w:val="000000" w:themeColor="text1"/>
                <w:sz w:val="16"/>
                <w:szCs w:val="16"/>
              </w:rPr>
            </w:pPr>
            <w:r w:rsidRPr="00062486">
              <w:rPr>
                <w:rFonts w:ascii="Selawik" w:hAnsi="Selawik"/>
                <w:bCs w:val="0"/>
                <w:color w:val="000000" w:themeColor="text1"/>
                <w:sz w:val="16"/>
                <w:szCs w:val="16"/>
              </w:rPr>
              <w:t>Porcentaje de casos vigentes respecto al ingreso móvil</w:t>
            </w:r>
          </w:p>
        </w:tc>
        <w:tc>
          <w:tcPr>
            <w:tcW w:w="2217" w:type="pct"/>
            <w:tcBorders>
              <w:top w:val="none" w:sz="0" w:space="0" w:color="auto"/>
              <w:bottom w:val="none" w:sz="0" w:space="0" w:color="auto"/>
            </w:tcBorders>
            <w:vAlign w:val="center"/>
          </w:tcPr>
          <w:p w14:paraId="6BEB8CAF" w14:textId="1C029C0B" w:rsidR="002A02DE" w:rsidRPr="00062486" w:rsidRDefault="00F82EE8" w:rsidP="00DB72A2">
            <w:pPr>
              <w:jc w:val="both"/>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de casos vigentes) / (Total de casos ingresados los últimos 12 meses) * 100</w:t>
            </w:r>
          </w:p>
        </w:tc>
        <w:tc>
          <w:tcPr>
            <w:tcW w:w="499" w:type="pct"/>
            <w:tcBorders>
              <w:top w:val="none" w:sz="0" w:space="0" w:color="auto"/>
              <w:bottom w:val="none" w:sz="0" w:space="0" w:color="auto"/>
            </w:tcBorders>
            <w:vAlign w:val="center"/>
          </w:tcPr>
          <w:p w14:paraId="4681049E" w14:textId="77777777" w:rsidR="002A02DE" w:rsidRPr="00062486" w:rsidRDefault="002A02DE"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Monitoreo</w:t>
            </w:r>
          </w:p>
        </w:tc>
        <w:tc>
          <w:tcPr>
            <w:tcW w:w="501" w:type="pct"/>
            <w:tcBorders>
              <w:top w:val="none" w:sz="0" w:space="0" w:color="auto"/>
              <w:bottom w:val="none" w:sz="0" w:space="0" w:color="auto"/>
            </w:tcBorders>
            <w:vAlign w:val="center"/>
          </w:tcPr>
          <w:p w14:paraId="5E9B02BB" w14:textId="7D17C860" w:rsidR="002A02DE" w:rsidRPr="00062486" w:rsidRDefault="00022785"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3</w:t>
            </w:r>
            <w:r w:rsidR="0087684B">
              <w:rPr>
                <w:rFonts w:ascii="Selawik" w:hAnsi="Selawik" w:cs="Arial"/>
                <w:color w:val="000000" w:themeColor="text1"/>
                <w:sz w:val="16"/>
                <w:szCs w:val="16"/>
              </w:rPr>
              <w:t>8</w:t>
            </w:r>
            <w:r w:rsidR="00940EBC">
              <w:rPr>
                <w:rFonts w:ascii="Selawik" w:hAnsi="Selawik" w:cs="Arial"/>
                <w:color w:val="000000" w:themeColor="text1"/>
                <w:sz w:val="16"/>
                <w:szCs w:val="16"/>
              </w:rPr>
              <w:t>.</w:t>
            </w:r>
            <w:r w:rsidR="0087684B">
              <w:rPr>
                <w:rFonts w:ascii="Selawik" w:hAnsi="Selawik" w:cs="Arial"/>
                <w:color w:val="000000" w:themeColor="text1"/>
                <w:sz w:val="16"/>
                <w:szCs w:val="16"/>
              </w:rPr>
              <w:t>1</w:t>
            </w:r>
            <w:r w:rsidR="009415C7" w:rsidRPr="00062486">
              <w:rPr>
                <w:rFonts w:ascii="Selawik" w:hAnsi="Selawik" w:cs="Arial"/>
                <w:color w:val="000000" w:themeColor="text1"/>
                <w:sz w:val="16"/>
                <w:szCs w:val="16"/>
              </w:rPr>
              <w:t>5</w:t>
            </w:r>
            <w:r w:rsidR="00B34A3F" w:rsidRPr="00062486">
              <w:rPr>
                <w:rFonts w:ascii="Selawik" w:hAnsi="Selawik" w:cs="Arial"/>
                <w:color w:val="000000" w:themeColor="text1"/>
                <w:sz w:val="16"/>
                <w:szCs w:val="16"/>
              </w:rPr>
              <w:t>%</w:t>
            </w:r>
          </w:p>
        </w:tc>
        <w:tc>
          <w:tcPr>
            <w:tcW w:w="643" w:type="pct"/>
            <w:tcBorders>
              <w:top w:val="none" w:sz="0" w:space="0" w:color="auto"/>
              <w:bottom w:val="none" w:sz="0" w:space="0" w:color="auto"/>
              <w:right w:val="none" w:sz="0" w:space="0" w:color="auto"/>
            </w:tcBorders>
            <w:vAlign w:val="center"/>
          </w:tcPr>
          <w:p w14:paraId="7BC497E5" w14:textId="77777777" w:rsidR="002A02DE" w:rsidRPr="00062486" w:rsidRDefault="002A02DE"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bl>
    <w:p w14:paraId="3046D928" w14:textId="77777777" w:rsidR="008323FE" w:rsidRPr="00674D55" w:rsidRDefault="008323FE" w:rsidP="004C5016">
      <w:pPr>
        <w:rPr>
          <w:rFonts w:ascii="Selawik" w:hAnsi="Selawik" w:cs="Arial"/>
          <w:b/>
          <w:highlight w:val="yellow"/>
          <w:lang w:val="es-CL"/>
        </w:rPr>
      </w:pPr>
    </w:p>
    <w:tbl>
      <w:tblPr>
        <w:tblStyle w:val="Listaclara-nfasis11"/>
        <w:tblW w:w="5156" w:type="pct"/>
        <w:jc w:val="center"/>
        <w:tblBorders>
          <w:top w:val="single" w:sz="6" w:space="0" w:color="4F81BD" w:themeColor="accent1"/>
          <w:left w:val="single" w:sz="6" w:space="0" w:color="4F81BD" w:themeColor="accent1"/>
          <w:bottom w:val="single" w:sz="6" w:space="0" w:color="4F81BD" w:themeColor="accent1"/>
          <w:right w:val="single" w:sz="6" w:space="0" w:color="4F81BD" w:themeColor="accent1"/>
          <w:insideH w:val="single" w:sz="6" w:space="0" w:color="4F81BD" w:themeColor="accent1"/>
          <w:insideV w:val="single" w:sz="6" w:space="0" w:color="4F81BD" w:themeColor="accent1"/>
        </w:tblBorders>
        <w:tblLayout w:type="fixed"/>
        <w:tblLook w:val="04A0" w:firstRow="1" w:lastRow="0" w:firstColumn="1" w:lastColumn="0" w:noHBand="0" w:noVBand="1"/>
      </w:tblPr>
      <w:tblGrid>
        <w:gridCol w:w="2261"/>
        <w:gridCol w:w="4404"/>
        <w:gridCol w:w="992"/>
        <w:gridCol w:w="978"/>
        <w:gridCol w:w="1288"/>
      </w:tblGrid>
      <w:tr w:rsidR="00062486" w:rsidRPr="00674D55" w14:paraId="0BC96AB2" w14:textId="77777777" w:rsidTr="00586896">
        <w:trPr>
          <w:cnfStyle w:val="100000000000" w:firstRow="1" w:lastRow="0" w:firstColumn="0" w:lastColumn="0" w:oddVBand="0" w:evenVBand="0" w:oddHBand="0" w:evenHBand="0" w:firstRowFirstColumn="0" w:firstRowLastColumn="0" w:lastRowFirstColumn="0" w:lastRowLastColumn="0"/>
          <w:trHeight w:val="553"/>
          <w:jc w:val="center"/>
        </w:trPr>
        <w:tc>
          <w:tcPr>
            <w:cnfStyle w:val="001000000000" w:firstRow="0" w:lastRow="0" w:firstColumn="1" w:lastColumn="0" w:oddVBand="0" w:evenVBand="0" w:oddHBand="0" w:evenHBand="0" w:firstRowFirstColumn="0" w:firstRowLastColumn="0" w:lastRowFirstColumn="0" w:lastRowLastColumn="0"/>
            <w:tcW w:w="1139" w:type="pct"/>
            <w:shd w:val="clear" w:color="auto" w:fill="548DD4" w:themeFill="text2" w:themeFillTint="99"/>
            <w:vAlign w:val="center"/>
          </w:tcPr>
          <w:p w14:paraId="5A2683B1" w14:textId="77777777" w:rsidR="003D3FBC" w:rsidRPr="00674D55" w:rsidRDefault="003D3FBC" w:rsidP="00473293">
            <w:pPr>
              <w:jc w:val="center"/>
              <w:rPr>
                <w:rFonts w:ascii="Selawik" w:hAnsi="Selawik" w:cs="Arial"/>
                <w:color w:val="FFFFFF"/>
                <w:sz w:val="12"/>
                <w:szCs w:val="18"/>
              </w:rPr>
            </w:pPr>
            <w:r w:rsidRPr="00674D55">
              <w:rPr>
                <w:rFonts w:ascii="Selawik" w:hAnsi="Selawik" w:cs="Arial"/>
                <w:color w:val="FFFFFF"/>
                <w:sz w:val="12"/>
                <w:szCs w:val="18"/>
              </w:rPr>
              <w:lastRenderedPageBreak/>
              <w:t>INDICADOR</w:t>
            </w:r>
          </w:p>
        </w:tc>
        <w:tc>
          <w:tcPr>
            <w:tcW w:w="2219" w:type="pct"/>
            <w:shd w:val="clear" w:color="auto" w:fill="548DD4" w:themeFill="text2" w:themeFillTint="99"/>
            <w:vAlign w:val="center"/>
          </w:tcPr>
          <w:p w14:paraId="1296FA84" w14:textId="77777777" w:rsidR="003D3FBC" w:rsidRPr="00674D55" w:rsidRDefault="003D3FBC" w:rsidP="00473293">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FFFFFF"/>
                <w:sz w:val="12"/>
                <w:szCs w:val="18"/>
              </w:rPr>
            </w:pPr>
            <w:r w:rsidRPr="00674D55">
              <w:rPr>
                <w:rFonts w:ascii="Selawik" w:hAnsi="Selawik" w:cs="Arial"/>
                <w:color w:val="FFFFFF"/>
                <w:sz w:val="12"/>
                <w:szCs w:val="18"/>
              </w:rPr>
              <w:t>DESCRIPCIÓN</w:t>
            </w:r>
          </w:p>
        </w:tc>
        <w:tc>
          <w:tcPr>
            <w:tcW w:w="500" w:type="pct"/>
            <w:shd w:val="clear" w:color="auto" w:fill="548DD4" w:themeFill="text2" w:themeFillTint="99"/>
            <w:vAlign w:val="center"/>
          </w:tcPr>
          <w:p w14:paraId="45154BEE" w14:textId="1345923C" w:rsidR="003D3FBC" w:rsidRPr="00674D55" w:rsidRDefault="001A3E0A" w:rsidP="00473293">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FFFFFF"/>
                <w:sz w:val="12"/>
                <w:szCs w:val="18"/>
              </w:rPr>
            </w:pPr>
            <w:r w:rsidRPr="00674D55">
              <w:rPr>
                <w:rFonts w:ascii="Selawik" w:hAnsi="Selawik" w:cs="Arial"/>
                <w:color w:val="FFFFFF"/>
                <w:sz w:val="12"/>
                <w:szCs w:val="18"/>
              </w:rPr>
              <w:t>META ANUAL</w:t>
            </w:r>
          </w:p>
        </w:tc>
        <w:tc>
          <w:tcPr>
            <w:tcW w:w="493" w:type="pct"/>
            <w:shd w:val="clear" w:color="auto" w:fill="548DD4" w:themeFill="text2" w:themeFillTint="99"/>
            <w:vAlign w:val="center"/>
          </w:tcPr>
          <w:p w14:paraId="5D0EC938" w14:textId="77777777" w:rsidR="003D3FBC" w:rsidRPr="00674D55" w:rsidRDefault="003D3FBC" w:rsidP="00473293">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FFFFFF"/>
                <w:sz w:val="12"/>
                <w:szCs w:val="18"/>
              </w:rPr>
            </w:pPr>
            <w:r w:rsidRPr="00674D55">
              <w:rPr>
                <w:rFonts w:ascii="Selawik" w:hAnsi="Selawik" w:cs="Arial"/>
                <w:color w:val="FFFFFF"/>
                <w:sz w:val="12"/>
                <w:szCs w:val="18"/>
              </w:rPr>
              <w:t>RESULTADO EFECTIVO</w:t>
            </w:r>
          </w:p>
        </w:tc>
        <w:tc>
          <w:tcPr>
            <w:tcW w:w="649" w:type="pct"/>
            <w:shd w:val="clear" w:color="auto" w:fill="548DD4" w:themeFill="text2" w:themeFillTint="99"/>
            <w:vAlign w:val="center"/>
          </w:tcPr>
          <w:p w14:paraId="1B4A486E" w14:textId="77777777" w:rsidR="003D3FBC" w:rsidRPr="00674D55" w:rsidRDefault="003D3FBC" w:rsidP="00473293">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FFFFFF"/>
                <w:sz w:val="12"/>
                <w:szCs w:val="18"/>
              </w:rPr>
            </w:pPr>
            <w:r w:rsidRPr="00674D55">
              <w:rPr>
                <w:rFonts w:ascii="Selawik" w:hAnsi="Selawik" w:cs="Arial"/>
                <w:color w:val="FFFFFF"/>
                <w:sz w:val="12"/>
                <w:szCs w:val="18"/>
              </w:rPr>
              <w:t>ÍNDICE DE CUMPLIMIENTO</w:t>
            </w:r>
          </w:p>
        </w:tc>
      </w:tr>
      <w:tr w:rsidR="00062486" w:rsidRPr="00674D55" w14:paraId="268C79E1" w14:textId="77777777" w:rsidTr="00586896">
        <w:trPr>
          <w:cnfStyle w:val="000000100000" w:firstRow="0" w:lastRow="0" w:firstColumn="0" w:lastColumn="0" w:oddVBand="0" w:evenVBand="0" w:oddHBand="1" w:evenHBand="0" w:firstRowFirstColumn="0" w:firstRowLastColumn="0" w:lastRowFirstColumn="0" w:lastRowLastColumn="0"/>
          <w:trHeight w:val="1114"/>
          <w:jc w:val="center"/>
        </w:trPr>
        <w:tc>
          <w:tcPr>
            <w:cnfStyle w:val="001000000000" w:firstRow="0" w:lastRow="0" w:firstColumn="1" w:lastColumn="0" w:oddVBand="0" w:evenVBand="0" w:oddHBand="0" w:evenHBand="0" w:firstRowFirstColumn="0" w:firstRowLastColumn="0" w:lastRowFirstColumn="0" w:lastRowLastColumn="0"/>
            <w:tcW w:w="1139" w:type="pct"/>
            <w:tcBorders>
              <w:top w:val="none" w:sz="0" w:space="0" w:color="auto"/>
              <w:left w:val="none" w:sz="0" w:space="0" w:color="auto"/>
              <w:bottom w:val="none" w:sz="0" w:space="0" w:color="auto"/>
            </w:tcBorders>
            <w:shd w:val="clear" w:color="auto" w:fill="auto"/>
            <w:vAlign w:val="center"/>
          </w:tcPr>
          <w:p w14:paraId="490EF41F" w14:textId="77777777" w:rsidR="00AE5A9F" w:rsidRPr="00062486" w:rsidRDefault="00AE5A9F" w:rsidP="00473293">
            <w:pPr>
              <w:pStyle w:val="Prrafodelista"/>
              <w:numPr>
                <w:ilvl w:val="0"/>
                <w:numId w:val="4"/>
              </w:numPr>
              <w:spacing w:after="0" w:line="240" w:lineRule="auto"/>
              <w:rPr>
                <w:rFonts w:ascii="Selawik" w:hAnsi="Selawik"/>
                <w:bCs w:val="0"/>
                <w:color w:val="000000" w:themeColor="text1"/>
                <w:sz w:val="16"/>
                <w:szCs w:val="16"/>
              </w:rPr>
            </w:pPr>
            <w:r w:rsidRPr="00062486">
              <w:rPr>
                <w:rFonts w:ascii="Selawik" w:hAnsi="Selawik"/>
                <w:bCs w:val="0"/>
                <w:color w:val="000000" w:themeColor="text1"/>
                <w:sz w:val="16"/>
                <w:szCs w:val="16"/>
              </w:rPr>
              <w:t>Porcentaje de casos vigentes entre 12 y 24 meses respecto al ingreso móvil</w:t>
            </w:r>
          </w:p>
        </w:tc>
        <w:tc>
          <w:tcPr>
            <w:tcW w:w="2219" w:type="pct"/>
            <w:tcBorders>
              <w:top w:val="none" w:sz="0" w:space="0" w:color="auto"/>
              <w:bottom w:val="none" w:sz="0" w:space="0" w:color="auto"/>
            </w:tcBorders>
            <w:shd w:val="clear" w:color="auto" w:fill="auto"/>
            <w:vAlign w:val="center"/>
          </w:tcPr>
          <w:p w14:paraId="5DB831B6" w14:textId="25117458" w:rsidR="00AE5A9F" w:rsidRPr="00062486" w:rsidRDefault="00F82EE8" w:rsidP="00473293">
            <w:pP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 xml:space="preserve">(Número </w:t>
            </w:r>
            <w:r w:rsidRPr="00062486">
              <w:rPr>
                <w:rFonts w:ascii="Selawik" w:hAnsi="Selawik" w:cs="Arial"/>
                <w:bCs/>
                <w:color w:val="000000" w:themeColor="text1"/>
                <w:sz w:val="16"/>
                <w:szCs w:val="16"/>
              </w:rPr>
              <w:t>de casos vigentes con una antigüedad entre 12 y 24 meses) / (Total de casos ingresados los últimos 12 meses) * 100</w:t>
            </w:r>
          </w:p>
        </w:tc>
        <w:tc>
          <w:tcPr>
            <w:tcW w:w="500" w:type="pct"/>
            <w:tcBorders>
              <w:top w:val="none" w:sz="0" w:space="0" w:color="auto"/>
              <w:bottom w:val="none" w:sz="0" w:space="0" w:color="auto"/>
            </w:tcBorders>
            <w:shd w:val="clear" w:color="auto" w:fill="auto"/>
            <w:vAlign w:val="center"/>
          </w:tcPr>
          <w:p w14:paraId="7E57F4E5" w14:textId="77777777" w:rsidR="00AE5A9F" w:rsidRPr="00062486" w:rsidRDefault="00AE5A9F" w:rsidP="00473293">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Monitoreo</w:t>
            </w:r>
          </w:p>
        </w:tc>
        <w:tc>
          <w:tcPr>
            <w:tcW w:w="493" w:type="pct"/>
            <w:tcBorders>
              <w:top w:val="none" w:sz="0" w:space="0" w:color="auto"/>
              <w:bottom w:val="none" w:sz="0" w:space="0" w:color="auto"/>
            </w:tcBorders>
            <w:shd w:val="clear" w:color="auto" w:fill="auto"/>
            <w:vAlign w:val="center"/>
          </w:tcPr>
          <w:p w14:paraId="0F5AF6F8" w14:textId="612A2BA8" w:rsidR="00AE5A9F" w:rsidRPr="00062486" w:rsidRDefault="000E368D" w:rsidP="00022785">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6.</w:t>
            </w:r>
            <w:r w:rsidR="0087684B">
              <w:rPr>
                <w:rFonts w:ascii="Selawik" w:hAnsi="Selawik" w:cs="Arial"/>
                <w:color w:val="000000" w:themeColor="text1"/>
                <w:sz w:val="16"/>
                <w:szCs w:val="16"/>
              </w:rPr>
              <w:t>16</w:t>
            </w:r>
            <w:r w:rsidR="00B34A3F" w:rsidRPr="00062486">
              <w:rPr>
                <w:rFonts w:ascii="Selawik" w:hAnsi="Selawik" w:cs="Arial"/>
                <w:color w:val="000000" w:themeColor="text1"/>
                <w:sz w:val="16"/>
                <w:szCs w:val="16"/>
              </w:rPr>
              <w:t>%</w:t>
            </w:r>
          </w:p>
        </w:tc>
        <w:tc>
          <w:tcPr>
            <w:tcW w:w="649" w:type="pct"/>
            <w:tcBorders>
              <w:top w:val="none" w:sz="0" w:space="0" w:color="auto"/>
              <w:bottom w:val="none" w:sz="0" w:space="0" w:color="auto"/>
              <w:right w:val="none" w:sz="0" w:space="0" w:color="auto"/>
            </w:tcBorders>
            <w:shd w:val="clear" w:color="auto" w:fill="auto"/>
            <w:vAlign w:val="center"/>
          </w:tcPr>
          <w:p w14:paraId="2FC152A6" w14:textId="77777777" w:rsidR="00AE5A9F" w:rsidRPr="00062486" w:rsidRDefault="00AE5A9F" w:rsidP="00473293">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60082AB2" w14:textId="77777777" w:rsidTr="00062486">
        <w:trPr>
          <w:trHeight w:val="1677"/>
          <w:jc w:val="center"/>
        </w:trPr>
        <w:tc>
          <w:tcPr>
            <w:cnfStyle w:val="001000000000" w:firstRow="0" w:lastRow="0" w:firstColumn="1" w:lastColumn="0" w:oddVBand="0" w:evenVBand="0" w:oddHBand="0" w:evenHBand="0" w:firstRowFirstColumn="0" w:firstRowLastColumn="0" w:lastRowFirstColumn="0" w:lastRowLastColumn="0"/>
            <w:tcW w:w="1139" w:type="pct"/>
            <w:vAlign w:val="center"/>
          </w:tcPr>
          <w:p w14:paraId="762C82D4" w14:textId="718B6160" w:rsidR="00AE5A9F" w:rsidRPr="00062486" w:rsidRDefault="00AE5A9F" w:rsidP="00473293">
            <w:pPr>
              <w:pStyle w:val="Prrafodelista"/>
              <w:numPr>
                <w:ilvl w:val="0"/>
                <w:numId w:val="4"/>
              </w:numPr>
              <w:spacing w:after="0" w:line="240" w:lineRule="auto"/>
              <w:rPr>
                <w:rFonts w:ascii="Selawik" w:hAnsi="Selawik"/>
                <w:bCs w:val="0"/>
                <w:color w:val="000000" w:themeColor="text1"/>
                <w:sz w:val="16"/>
                <w:szCs w:val="16"/>
              </w:rPr>
            </w:pPr>
            <w:r w:rsidRPr="00062486">
              <w:rPr>
                <w:rFonts w:ascii="Selawik" w:hAnsi="Selawik"/>
                <w:bCs w:val="0"/>
                <w:color w:val="000000" w:themeColor="text1"/>
                <w:sz w:val="16"/>
                <w:szCs w:val="16"/>
              </w:rPr>
              <w:t xml:space="preserve">Porcentaje de casos vigentes sin movimiento </w:t>
            </w:r>
            <w:r w:rsidR="00F82EE8" w:rsidRPr="00062486">
              <w:rPr>
                <w:rFonts w:ascii="Selawik" w:hAnsi="Selawik"/>
                <w:bCs w:val="0"/>
                <w:color w:val="000000" w:themeColor="text1"/>
                <w:sz w:val="16"/>
                <w:szCs w:val="16"/>
              </w:rPr>
              <w:t xml:space="preserve">investigativo en más de </w:t>
            </w:r>
            <w:r w:rsidRPr="00062486">
              <w:rPr>
                <w:rFonts w:ascii="Selawik" w:hAnsi="Selawik"/>
                <w:bCs w:val="0"/>
                <w:color w:val="000000" w:themeColor="text1"/>
                <w:sz w:val="16"/>
                <w:szCs w:val="16"/>
              </w:rPr>
              <w:t>un año respecto al total de casos vigentes.</w:t>
            </w:r>
          </w:p>
        </w:tc>
        <w:tc>
          <w:tcPr>
            <w:tcW w:w="2219" w:type="pct"/>
            <w:vAlign w:val="center"/>
          </w:tcPr>
          <w:p w14:paraId="24A3F3E8" w14:textId="304152D5" w:rsidR="00AE5A9F" w:rsidRPr="00062486" w:rsidRDefault="00F82EE8" w:rsidP="002A02DE">
            <w:pP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hAnsi="Selawik" w:cs="Arial"/>
                <w:color w:val="000000" w:themeColor="text1"/>
                <w:sz w:val="16"/>
                <w:szCs w:val="16"/>
              </w:rPr>
              <w:t>(Número de causas vigentes sin movimiento en más de 12 meses desde la última actividad registrada) / (Número de causas vigentes) * 100</w:t>
            </w:r>
          </w:p>
        </w:tc>
        <w:tc>
          <w:tcPr>
            <w:tcW w:w="500" w:type="pct"/>
            <w:vAlign w:val="center"/>
          </w:tcPr>
          <w:p w14:paraId="40D0CC8B" w14:textId="77777777" w:rsidR="00AE5A9F" w:rsidRPr="00062486" w:rsidRDefault="00AE5A9F" w:rsidP="00473293">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Monitoreo</w:t>
            </w:r>
          </w:p>
        </w:tc>
        <w:tc>
          <w:tcPr>
            <w:tcW w:w="493" w:type="pct"/>
            <w:vAlign w:val="center"/>
          </w:tcPr>
          <w:p w14:paraId="2543D25B" w14:textId="019D3733" w:rsidR="00AE5A9F" w:rsidRPr="00062486" w:rsidRDefault="00940EBC" w:rsidP="00022785">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Pr>
                <w:rFonts w:ascii="Selawik" w:eastAsiaTheme="minorEastAsia" w:hAnsi="Selawik" w:cstheme="minorBidi"/>
                <w:bCs/>
                <w:color w:val="000000" w:themeColor="text1"/>
                <w:sz w:val="16"/>
                <w:szCs w:val="16"/>
                <w:lang w:val="es-CL" w:eastAsia="es-CL"/>
              </w:rPr>
              <w:t>9</w:t>
            </w:r>
            <w:r w:rsidR="000E368D" w:rsidRPr="00062486">
              <w:rPr>
                <w:rFonts w:ascii="Selawik" w:eastAsiaTheme="minorEastAsia" w:hAnsi="Selawik" w:cstheme="minorBidi"/>
                <w:bCs/>
                <w:color w:val="000000" w:themeColor="text1"/>
                <w:sz w:val="16"/>
                <w:szCs w:val="16"/>
                <w:lang w:val="es-CL" w:eastAsia="es-CL"/>
              </w:rPr>
              <w:t>.</w:t>
            </w:r>
            <w:r w:rsidR="0087684B">
              <w:rPr>
                <w:rFonts w:ascii="Selawik" w:eastAsiaTheme="minorEastAsia" w:hAnsi="Selawik" w:cstheme="minorBidi"/>
                <w:bCs/>
                <w:color w:val="000000" w:themeColor="text1"/>
                <w:sz w:val="16"/>
                <w:szCs w:val="16"/>
                <w:lang w:val="es-CL" w:eastAsia="es-CL"/>
              </w:rPr>
              <w:t>77</w:t>
            </w:r>
            <w:r w:rsidR="00B34A3F" w:rsidRPr="00062486">
              <w:rPr>
                <w:rFonts w:ascii="Selawik" w:eastAsiaTheme="minorEastAsia" w:hAnsi="Selawik" w:cstheme="minorBidi"/>
                <w:bCs/>
                <w:color w:val="000000" w:themeColor="text1"/>
                <w:sz w:val="16"/>
                <w:szCs w:val="16"/>
                <w:lang w:val="es-CL" w:eastAsia="es-CL"/>
              </w:rPr>
              <w:t>%</w:t>
            </w:r>
          </w:p>
        </w:tc>
        <w:tc>
          <w:tcPr>
            <w:tcW w:w="649" w:type="pct"/>
            <w:vAlign w:val="center"/>
          </w:tcPr>
          <w:p w14:paraId="35E9A914" w14:textId="77777777" w:rsidR="00AE5A9F" w:rsidRPr="00062486" w:rsidRDefault="00AE5A9F" w:rsidP="00473293">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N/A</w:t>
            </w:r>
          </w:p>
        </w:tc>
      </w:tr>
      <w:tr w:rsidR="00062486" w:rsidRPr="00674D55" w14:paraId="011FA0F5" w14:textId="77777777" w:rsidTr="00586896">
        <w:trPr>
          <w:cnfStyle w:val="000000100000" w:firstRow="0" w:lastRow="0" w:firstColumn="0" w:lastColumn="0" w:oddVBand="0" w:evenVBand="0" w:oddHBand="1" w:evenHBand="0" w:firstRowFirstColumn="0" w:firstRowLastColumn="0" w:lastRowFirstColumn="0" w:lastRowLastColumn="0"/>
          <w:trHeight w:val="2528"/>
          <w:jc w:val="center"/>
        </w:trPr>
        <w:tc>
          <w:tcPr>
            <w:cnfStyle w:val="001000000000" w:firstRow="0" w:lastRow="0" w:firstColumn="1" w:lastColumn="0" w:oddVBand="0" w:evenVBand="0" w:oddHBand="0" w:evenHBand="0" w:firstRowFirstColumn="0" w:firstRowLastColumn="0" w:lastRowFirstColumn="0" w:lastRowLastColumn="0"/>
            <w:tcW w:w="1139" w:type="pct"/>
            <w:tcBorders>
              <w:top w:val="none" w:sz="0" w:space="0" w:color="auto"/>
              <w:left w:val="none" w:sz="0" w:space="0" w:color="auto"/>
              <w:bottom w:val="none" w:sz="0" w:space="0" w:color="auto"/>
            </w:tcBorders>
            <w:vAlign w:val="center"/>
          </w:tcPr>
          <w:p w14:paraId="345AE4FA" w14:textId="4D46B73D" w:rsidR="002A02DE" w:rsidRPr="00062486" w:rsidRDefault="00EF2EEE" w:rsidP="002A02DE">
            <w:pPr>
              <w:pStyle w:val="Prrafodelista"/>
              <w:numPr>
                <w:ilvl w:val="0"/>
                <w:numId w:val="4"/>
              </w:numPr>
              <w:spacing w:after="0" w:line="240" w:lineRule="auto"/>
              <w:rPr>
                <w:rFonts w:ascii="Selawik" w:hAnsi="Selawik"/>
                <w:bCs w:val="0"/>
                <w:color w:val="000000" w:themeColor="text1"/>
                <w:sz w:val="16"/>
                <w:szCs w:val="16"/>
              </w:rPr>
            </w:pPr>
            <w:r w:rsidRPr="00062486">
              <w:rPr>
                <w:rFonts w:ascii="Selawik" w:hAnsi="Selawik"/>
                <w:bCs w:val="0"/>
                <w:color w:val="000000" w:themeColor="text1"/>
                <w:sz w:val="16"/>
                <w:szCs w:val="16"/>
              </w:rPr>
              <w:t>Porcentaje de casos vinculados a delitos de robos y secuestros definidos, que cuentan con registro de declaración de la víctima directa en un plazo menor o igual a 30 días</w:t>
            </w:r>
          </w:p>
        </w:tc>
        <w:tc>
          <w:tcPr>
            <w:tcW w:w="2219" w:type="pct"/>
            <w:tcBorders>
              <w:top w:val="none" w:sz="0" w:space="0" w:color="auto"/>
              <w:bottom w:val="none" w:sz="0" w:space="0" w:color="auto"/>
            </w:tcBorders>
            <w:vAlign w:val="center"/>
          </w:tcPr>
          <w:p w14:paraId="1E0F1D65" w14:textId="14A43B07" w:rsidR="002A02DE" w:rsidRPr="00062486" w:rsidRDefault="00F82EE8" w:rsidP="002A02DE">
            <w:pP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color w:val="000000" w:themeColor="text1"/>
                <w:sz w:val="16"/>
                <w:szCs w:val="16"/>
                <w:lang w:val="es-CL" w:eastAsia="es-CL"/>
              </w:rPr>
            </w:pPr>
            <w:r w:rsidRPr="00062486">
              <w:rPr>
                <w:rFonts w:ascii="Selawik" w:hAnsi="Selawik" w:cs="Arial"/>
                <w:color w:val="000000" w:themeColor="text1"/>
                <w:sz w:val="16"/>
                <w:szCs w:val="16"/>
              </w:rPr>
              <w:t>(Número de casos vinculados a delitos de Robos y secuestros definidos, que cuentan con registro de declaración de la víctima en un plazo menor o igual a 30 días corridos desde la fecha de asignación a los equipos de tramitación, en el año t) / (Número total de casos ingresados de los delitos definidos que cuentan con víctimas asignados a los equipos de tramitación) * 100</w:t>
            </w:r>
          </w:p>
        </w:tc>
        <w:tc>
          <w:tcPr>
            <w:tcW w:w="500" w:type="pct"/>
            <w:tcBorders>
              <w:top w:val="none" w:sz="0" w:space="0" w:color="auto"/>
              <w:bottom w:val="none" w:sz="0" w:space="0" w:color="auto"/>
            </w:tcBorders>
            <w:vAlign w:val="center"/>
          </w:tcPr>
          <w:p w14:paraId="44E7659C" w14:textId="77777777" w:rsidR="002A02DE" w:rsidRPr="00062486" w:rsidRDefault="002A02DE" w:rsidP="00473293">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Monitoreo</w:t>
            </w:r>
          </w:p>
        </w:tc>
        <w:tc>
          <w:tcPr>
            <w:tcW w:w="493" w:type="pct"/>
            <w:tcBorders>
              <w:top w:val="none" w:sz="0" w:space="0" w:color="auto"/>
              <w:bottom w:val="none" w:sz="0" w:space="0" w:color="auto"/>
            </w:tcBorders>
            <w:vAlign w:val="center"/>
          </w:tcPr>
          <w:p w14:paraId="7C31FB2B" w14:textId="01269AC2" w:rsidR="002A02DE" w:rsidRPr="00062486" w:rsidRDefault="000E368D" w:rsidP="00022785">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color w:val="000000" w:themeColor="text1"/>
                <w:sz w:val="16"/>
                <w:szCs w:val="16"/>
                <w:lang w:val="es-CL" w:eastAsia="es-CL"/>
              </w:rPr>
            </w:pPr>
            <w:r w:rsidRPr="00062486">
              <w:rPr>
                <w:rFonts w:ascii="Selawik" w:eastAsiaTheme="minorEastAsia" w:hAnsi="Selawik" w:cstheme="minorBidi"/>
                <w:color w:val="000000" w:themeColor="text1"/>
                <w:sz w:val="16"/>
                <w:szCs w:val="16"/>
                <w:lang w:val="es-CL" w:eastAsia="es-CL"/>
              </w:rPr>
              <w:t>1.</w:t>
            </w:r>
            <w:r w:rsidR="00E97951">
              <w:rPr>
                <w:rFonts w:ascii="Selawik" w:eastAsiaTheme="minorEastAsia" w:hAnsi="Selawik" w:cstheme="minorBidi"/>
                <w:color w:val="000000" w:themeColor="text1"/>
                <w:sz w:val="16"/>
                <w:szCs w:val="16"/>
                <w:lang w:val="es-CL" w:eastAsia="es-CL"/>
              </w:rPr>
              <w:t>1</w:t>
            </w:r>
            <w:r w:rsidRPr="00062486">
              <w:rPr>
                <w:rFonts w:ascii="Selawik" w:eastAsiaTheme="minorEastAsia" w:hAnsi="Selawik" w:cstheme="minorBidi"/>
                <w:color w:val="000000" w:themeColor="text1"/>
                <w:sz w:val="16"/>
                <w:szCs w:val="16"/>
                <w:lang w:val="es-CL" w:eastAsia="es-CL"/>
              </w:rPr>
              <w:t>4</w:t>
            </w:r>
            <w:r w:rsidR="00B34A3F" w:rsidRPr="00062486">
              <w:rPr>
                <w:rFonts w:ascii="Selawik" w:eastAsiaTheme="minorEastAsia" w:hAnsi="Selawik" w:cstheme="minorBidi"/>
                <w:color w:val="000000" w:themeColor="text1"/>
                <w:sz w:val="16"/>
                <w:szCs w:val="16"/>
                <w:lang w:val="es-CL" w:eastAsia="es-CL"/>
              </w:rPr>
              <w:t>%</w:t>
            </w:r>
          </w:p>
        </w:tc>
        <w:tc>
          <w:tcPr>
            <w:tcW w:w="649" w:type="pct"/>
            <w:tcBorders>
              <w:top w:val="none" w:sz="0" w:space="0" w:color="auto"/>
              <w:bottom w:val="none" w:sz="0" w:space="0" w:color="auto"/>
              <w:right w:val="none" w:sz="0" w:space="0" w:color="auto"/>
            </w:tcBorders>
            <w:vAlign w:val="center"/>
          </w:tcPr>
          <w:p w14:paraId="247D973C" w14:textId="77777777" w:rsidR="002A02DE" w:rsidRPr="00062486" w:rsidRDefault="002A02DE" w:rsidP="00254389">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2B82FE7F" w14:textId="77777777" w:rsidTr="00062486">
        <w:trPr>
          <w:trHeight w:val="1401"/>
          <w:jc w:val="center"/>
        </w:trPr>
        <w:tc>
          <w:tcPr>
            <w:cnfStyle w:val="001000000000" w:firstRow="0" w:lastRow="0" w:firstColumn="1" w:lastColumn="0" w:oddVBand="0" w:evenVBand="0" w:oddHBand="0" w:evenHBand="0" w:firstRowFirstColumn="0" w:firstRowLastColumn="0" w:lastRowFirstColumn="0" w:lastRowLastColumn="0"/>
            <w:tcW w:w="1139" w:type="pct"/>
            <w:vAlign w:val="center"/>
          </w:tcPr>
          <w:p w14:paraId="356E8769" w14:textId="1FEDF0FE" w:rsidR="002A02DE" w:rsidRPr="00062486" w:rsidRDefault="002A02DE" w:rsidP="00473293">
            <w:pPr>
              <w:pStyle w:val="Prrafodelista"/>
              <w:numPr>
                <w:ilvl w:val="0"/>
                <w:numId w:val="4"/>
              </w:numPr>
              <w:spacing w:after="0" w:line="240" w:lineRule="auto"/>
              <w:rPr>
                <w:rFonts w:ascii="Selawik" w:hAnsi="Selawik"/>
                <w:bCs w:val="0"/>
                <w:color w:val="000000" w:themeColor="text1"/>
                <w:sz w:val="16"/>
                <w:szCs w:val="16"/>
              </w:rPr>
            </w:pPr>
            <w:r w:rsidRPr="00062486">
              <w:rPr>
                <w:rFonts w:ascii="Selawik" w:hAnsi="Selawik"/>
                <w:bCs w:val="0"/>
                <w:color w:val="000000" w:themeColor="text1"/>
                <w:sz w:val="16"/>
                <w:szCs w:val="16"/>
              </w:rPr>
              <w:t xml:space="preserve">Porcentaje de </w:t>
            </w:r>
            <w:r w:rsidR="00F82EE8" w:rsidRPr="00062486">
              <w:rPr>
                <w:rFonts w:ascii="Selawik" w:hAnsi="Selawik"/>
                <w:bCs w:val="0"/>
                <w:color w:val="000000" w:themeColor="text1"/>
                <w:sz w:val="16"/>
                <w:szCs w:val="16"/>
              </w:rPr>
              <w:t>salidas judiciales en casos con imputado conocido sin ACD</w:t>
            </w:r>
          </w:p>
        </w:tc>
        <w:tc>
          <w:tcPr>
            <w:tcW w:w="2219" w:type="pct"/>
            <w:vAlign w:val="center"/>
          </w:tcPr>
          <w:p w14:paraId="6C4D87A8" w14:textId="41498689" w:rsidR="002A02DE" w:rsidRPr="00062486" w:rsidRDefault="00F82EE8" w:rsidP="002A02DE">
            <w:pP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hAnsi="Selawik" w:cs="Arial"/>
                <w:color w:val="000000" w:themeColor="text1"/>
                <w:sz w:val="16"/>
                <w:szCs w:val="16"/>
              </w:rPr>
              <w:t>(Número de relaciones con imputado conocido sin ACD, que se encuentra concluida o suspendida en el año, por alguna salida judicial) / (Número de relaciones con imputado conocido sin ACD, que se encuentra concluida o suspendida en el año por salidas judicial y no judicial) * 100</w:t>
            </w:r>
          </w:p>
        </w:tc>
        <w:tc>
          <w:tcPr>
            <w:tcW w:w="500" w:type="pct"/>
            <w:vAlign w:val="center"/>
          </w:tcPr>
          <w:p w14:paraId="755A2C64" w14:textId="77777777" w:rsidR="002A02DE" w:rsidRPr="00062486" w:rsidRDefault="002A02DE" w:rsidP="00254389">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Monitoreo</w:t>
            </w:r>
          </w:p>
        </w:tc>
        <w:tc>
          <w:tcPr>
            <w:tcW w:w="493" w:type="pct"/>
            <w:vAlign w:val="center"/>
          </w:tcPr>
          <w:p w14:paraId="1F65FBFB" w14:textId="753F436E" w:rsidR="002A02DE" w:rsidRPr="00062486" w:rsidRDefault="000E368D" w:rsidP="00022785">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
                <w:color w:val="000000" w:themeColor="text1"/>
                <w:sz w:val="16"/>
                <w:szCs w:val="16"/>
                <w:lang w:val="es-CL" w:eastAsia="es-CL"/>
              </w:rPr>
            </w:pPr>
            <w:r w:rsidRPr="00062486">
              <w:rPr>
                <w:rFonts w:ascii="Selawik" w:eastAsiaTheme="minorEastAsia" w:hAnsi="Selawik" w:cstheme="minorBidi"/>
                <w:color w:val="000000" w:themeColor="text1"/>
                <w:sz w:val="16"/>
                <w:szCs w:val="16"/>
                <w:lang w:val="es-CL" w:eastAsia="es-CL"/>
              </w:rPr>
              <w:t>4</w:t>
            </w:r>
            <w:r w:rsidR="00E97951">
              <w:rPr>
                <w:rFonts w:ascii="Selawik" w:eastAsiaTheme="minorEastAsia" w:hAnsi="Selawik" w:cstheme="minorBidi"/>
                <w:color w:val="000000" w:themeColor="text1"/>
                <w:sz w:val="16"/>
                <w:szCs w:val="16"/>
                <w:lang w:val="es-CL" w:eastAsia="es-CL"/>
              </w:rPr>
              <w:t>8</w:t>
            </w:r>
            <w:r w:rsidRPr="00062486">
              <w:rPr>
                <w:rFonts w:ascii="Selawik" w:eastAsiaTheme="minorEastAsia" w:hAnsi="Selawik" w:cstheme="minorBidi"/>
                <w:color w:val="000000" w:themeColor="text1"/>
                <w:sz w:val="16"/>
                <w:szCs w:val="16"/>
                <w:lang w:val="es-CL" w:eastAsia="es-CL"/>
              </w:rPr>
              <w:t>.</w:t>
            </w:r>
            <w:r w:rsidR="0087684B">
              <w:rPr>
                <w:rFonts w:ascii="Selawik" w:eastAsiaTheme="minorEastAsia" w:hAnsi="Selawik" w:cstheme="minorBidi"/>
                <w:color w:val="000000" w:themeColor="text1"/>
                <w:sz w:val="16"/>
                <w:szCs w:val="16"/>
                <w:lang w:val="es-CL" w:eastAsia="es-CL"/>
              </w:rPr>
              <w:t>93</w:t>
            </w:r>
            <w:r w:rsidR="00B34A3F" w:rsidRPr="00062486">
              <w:rPr>
                <w:rFonts w:ascii="Selawik" w:eastAsiaTheme="minorEastAsia" w:hAnsi="Selawik" w:cstheme="minorBidi"/>
                <w:color w:val="000000" w:themeColor="text1"/>
                <w:sz w:val="16"/>
                <w:szCs w:val="16"/>
                <w:lang w:val="es-CL" w:eastAsia="es-CL"/>
              </w:rPr>
              <w:t>%</w:t>
            </w:r>
          </w:p>
        </w:tc>
        <w:tc>
          <w:tcPr>
            <w:tcW w:w="649" w:type="pct"/>
            <w:vAlign w:val="center"/>
          </w:tcPr>
          <w:p w14:paraId="26808535" w14:textId="77777777" w:rsidR="002A02DE" w:rsidRPr="00062486" w:rsidRDefault="002A02DE" w:rsidP="00254389">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41E7C9A7" w14:textId="77777777" w:rsidTr="00586896">
        <w:trPr>
          <w:cnfStyle w:val="000000100000" w:firstRow="0" w:lastRow="0" w:firstColumn="0" w:lastColumn="0" w:oddVBand="0" w:evenVBand="0" w:oddHBand="1" w:evenHBand="0" w:firstRowFirstColumn="0" w:firstRowLastColumn="0" w:lastRowFirstColumn="0" w:lastRowLastColumn="0"/>
          <w:trHeight w:val="983"/>
          <w:jc w:val="center"/>
        </w:trPr>
        <w:tc>
          <w:tcPr>
            <w:cnfStyle w:val="001000000000" w:firstRow="0" w:lastRow="0" w:firstColumn="1" w:lastColumn="0" w:oddVBand="0" w:evenVBand="0" w:oddHBand="0" w:evenHBand="0" w:firstRowFirstColumn="0" w:firstRowLastColumn="0" w:lastRowFirstColumn="0" w:lastRowLastColumn="0"/>
            <w:tcW w:w="1139" w:type="pct"/>
            <w:tcBorders>
              <w:top w:val="none" w:sz="0" w:space="0" w:color="auto"/>
              <w:left w:val="none" w:sz="0" w:space="0" w:color="auto"/>
              <w:bottom w:val="none" w:sz="0" w:space="0" w:color="auto"/>
            </w:tcBorders>
            <w:vAlign w:val="center"/>
          </w:tcPr>
          <w:p w14:paraId="5B6A2979" w14:textId="4EE86060" w:rsidR="002A02DE" w:rsidRPr="00062486" w:rsidRDefault="00645689" w:rsidP="00EF2EEE">
            <w:pPr>
              <w:pStyle w:val="Prrafodelista"/>
              <w:numPr>
                <w:ilvl w:val="0"/>
                <w:numId w:val="4"/>
              </w:numPr>
              <w:spacing w:after="0" w:line="240" w:lineRule="auto"/>
              <w:rPr>
                <w:rFonts w:ascii="Selawik" w:hAnsi="Selawik"/>
                <w:bCs w:val="0"/>
                <w:color w:val="000000" w:themeColor="text1"/>
                <w:sz w:val="16"/>
                <w:szCs w:val="16"/>
              </w:rPr>
            </w:pPr>
            <w:bookmarkStart w:id="4" w:name="_Toc163662007"/>
            <w:r w:rsidRPr="00062486">
              <w:rPr>
                <w:rFonts w:ascii="Selawik" w:hAnsi="Selawik"/>
                <w:bCs w:val="0"/>
                <w:color w:val="000000" w:themeColor="text1"/>
                <w:sz w:val="16"/>
                <w:szCs w:val="16"/>
              </w:rPr>
              <w:t xml:space="preserve">Porcentaje de folios registrados en la </w:t>
            </w:r>
            <w:r w:rsidR="00062486">
              <w:rPr>
                <w:rFonts w:ascii="Selawik" w:hAnsi="Selawik"/>
                <w:bCs w:val="0"/>
                <w:color w:val="000000" w:themeColor="text1"/>
                <w:sz w:val="16"/>
                <w:szCs w:val="16"/>
              </w:rPr>
              <w:t>B</w:t>
            </w:r>
            <w:r w:rsidRPr="00062486">
              <w:rPr>
                <w:rFonts w:ascii="Selawik" w:hAnsi="Selawik"/>
                <w:bCs w:val="0"/>
                <w:color w:val="000000" w:themeColor="text1"/>
                <w:sz w:val="16"/>
                <w:szCs w:val="16"/>
              </w:rPr>
              <w:t xml:space="preserve">itácora </w:t>
            </w:r>
            <w:r w:rsidR="00062486">
              <w:rPr>
                <w:rFonts w:ascii="Selawik" w:hAnsi="Selawik"/>
                <w:bCs w:val="0"/>
                <w:color w:val="000000" w:themeColor="text1"/>
                <w:sz w:val="16"/>
                <w:szCs w:val="16"/>
              </w:rPr>
              <w:t>W</w:t>
            </w:r>
            <w:r w:rsidRPr="00062486">
              <w:rPr>
                <w:rFonts w:ascii="Selawik" w:hAnsi="Selawik"/>
                <w:bCs w:val="0"/>
                <w:color w:val="000000" w:themeColor="text1"/>
                <w:sz w:val="16"/>
                <w:szCs w:val="16"/>
              </w:rPr>
              <w:t xml:space="preserve">eb </w:t>
            </w:r>
            <w:r w:rsidR="00062486">
              <w:rPr>
                <w:rFonts w:ascii="Selawik" w:hAnsi="Selawik"/>
                <w:bCs w:val="0"/>
                <w:color w:val="000000" w:themeColor="text1"/>
                <w:sz w:val="16"/>
                <w:szCs w:val="16"/>
              </w:rPr>
              <w:t>N</w:t>
            </w:r>
            <w:r w:rsidRPr="00062486">
              <w:rPr>
                <w:rFonts w:ascii="Selawik" w:hAnsi="Selawik"/>
                <w:bCs w:val="0"/>
                <w:color w:val="000000" w:themeColor="text1"/>
                <w:sz w:val="16"/>
                <w:szCs w:val="16"/>
              </w:rPr>
              <w:t>acional (</w:t>
            </w:r>
            <w:r w:rsidR="00062486">
              <w:rPr>
                <w:rFonts w:ascii="Selawik" w:hAnsi="Selawik"/>
                <w:bCs w:val="0"/>
                <w:color w:val="000000" w:themeColor="text1"/>
                <w:sz w:val="16"/>
                <w:szCs w:val="16"/>
              </w:rPr>
              <w:t>BWN</w:t>
            </w:r>
            <w:r w:rsidRPr="00062486">
              <w:rPr>
                <w:rFonts w:ascii="Selawik" w:hAnsi="Selawik"/>
                <w:bCs w:val="0"/>
                <w:color w:val="000000" w:themeColor="text1"/>
                <w:sz w:val="16"/>
                <w:szCs w:val="16"/>
              </w:rPr>
              <w:t>) sin ruc.</w:t>
            </w:r>
            <w:bookmarkEnd w:id="4"/>
          </w:p>
        </w:tc>
        <w:tc>
          <w:tcPr>
            <w:tcW w:w="2219" w:type="pct"/>
            <w:tcBorders>
              <w:top w:val="none" w:sz="0" w:space="0" w:color="auto"/>
              <w:bottom w:val="none" w:sz="0" w:space="0" w:color="auto"/>
            </w:tcBorders>
            <w:vAlign w:val="center"/>
          </w:tcPr>
          <w:p w14:paraId="12C5F0E9" w14:textId="073D5FE4" w:rsidR="002A02DE" w:rsidRPr="00062486" w:rsidRDefault="00217E19" w:rsidP="0031740A">
            <w:pP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hAnsi="Selawik" w:cs="Arial"/>
                <w:color w:val="000000" w:themeColor="text1"/>
                <w:sz w:val="16"/>
                <w:szCs w:val="16"/>
              </w:rPr>
              <w:t>(Número de folios sin RUC registrado en BWN) / (Número de folios registrados en BWN) * 100</w:t>
            </w:r>
          </w:p>
        </w:tc>
        <w:tc>
          <w:tcPr>
            <w:tcW w:w="500" w:type="pct"/>
            <w:tcBorders>
              <w:top w:val="none" w:sz="0" w:space="0" w:color="auto"/>
              <w:bottom w:val="none" w:sz="0" w:space="0" w:color="auto"/>
            </w:tcBorders>
            <w:vAlign w:val="center"/>
          </w:tcPr>
          <w:p w14:paraId="4EB7C7FA" w14:textId="77777777" w:rsidR="002A02DE" w:rsidRPr="00062486" w:rsidRDefault="002A02DE" w:rsidP="00254389">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Monitoreo</w:t>
            </w:r>
          </w:p>
        </w:tc>
        <w:tc>
          <w:tcPr>
            <w:tcW w:w="493" w:type="pct"/>
            <w:tcBorders>
              <w:top w:val="none" w:sz="0" w:space="0" w:color="auto"/>
              <w:bottom w:val="none" w:sz="0" w:space="0" w:color="auto"/>
            </w:tcBorders>
            <w:vAlign w:val="center"/>
          </w:tcPr>
          <w:p w14:paraId="7B7F9789" w14:textId="324081AA" w:rsidR="002A02DE" w:rsidRPr="00062486" w:rsidRDefault="0087684B" w:rsidP="00022785">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color w:val="000000" w:themeColor="text1"/>
                <w:sz w:val="16"/>
                <w:szCs w:val="16"/>
                <w:lang w:val="es-CL" w:eastAsia="es-CL"/>
              </w:rPr>
            </w:pPr>
            <w:r>
              <w:rPr>
                <w:rFonts w:ascii="Selawik" w:eastAsiaTheme="minorEastAsia" w:hAnsi="Selawik" w:cstheme="minorBidi"/>
                <w:color w:val="000000" w:themeColor="text1"/>
                <w:sz w:val="16"/>
                <w:szCs w:val="16"/>
                <w:lang w:val="es-CL" w:eastAsia="es-CL"/>
              </w:rPr>
              <w:t>54</w:t>
            </w:r>
            <w:r w:rsidR="000E368D" w:rsidRPr="00062486">
              <w:rPr>
                <w:rFonts w:ascii="Selawik" w:eastAsiaTheme="minorEastAsia" w:hAnsi="Selawik" w:cstheme="minorBidi"/>
                <w:color w:val="000000" w:themeColor="text1"/>
                <w:sz w:val="16"/>
                <w:szCs w:val="16"/>
                <w:lang w:val="es-CL" w:eastAsia="es-CL"/>
              </w:rPr>
              <w:t>.</w:t>
            </w:r>
            <w:r>
              <w:rPr>
                <w:rFonts w:ascii="Selawik" w:eastAsiaTheme="minorEastAsia" w:hAnsi="Selawik" w:cstheme="minorBidi"/>
                <w:color w:val="000000" w:themeColor="text1"/>
                <w:sz w:val="16"/>
                <w:szCs w:val="16"/>
                <w:lang w:val="es-CL" w:eastAsia="es-CL"/>
              </w:rPr>
              <w:t>8</w:t>
            </w:r>
            <w:r w:rsidR="00B34A3F" w:rsidRPr="00062486">
              <w:rPr>
                <w:rFonts w:ascii="Selawik" w:eastAsiaTheme="minorEastAsia" w:hAnsi="Selawik" w:cstheme="minorBidi"/>
                <w:color w:val="000000" w:themeColor="text1"/>
                <w:sz w:val="16"/>
                <w:szCs w:val="16"/>
                <w:lang w:val="es-CL" w:eastAsia="es-CL"/>
              </w:rPr>
              <w:t>%</w:t>
            </w:r>
          </w:p>
        </w:tc>
        <w:tc>
          <w:tcPr>
            <w:tcW w:w="649" w:type="pct"/>
            <w:tcBorders>
              <w:top w:val="none" w:sz="0" w:space="0" w:color="auto"/>
              <w:bottom w:val="none" w:sz="0" w:space="0" w:color="auto"/>
              <w:right w:val="none" w:sz="0" w:space="0" w:color="auto"/>
            </w:tcBorders>
            <w:vAlign w:val="center"/>
          </w:tcPr>
          <w:p w14:paraId="68E55B2D" w14:textId="77777777" w:rsidR="002A02DE" w:rsidRPr="00062486" w:rsidRDefault="002A02DE" w:rsidP="00254389">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0A155D15" w14:textId="77777777" w:rsidTr="00062486">
        <w:trPr>
          <w:trHeight w:val="1324"/>
          <w:jc w:val="center"/>
        </w:trPr>
        <w:tc>
          <w:tcPr>
            <w:cnfStyle w:val="001000000000" w:firstRow="0" w:lastRow="0" w:firstColumn="1" w:lastColumn="0" w:oddVBand="0" w:evenVBand="0" w:oddHBand="0" w:evenHBand="0" w:firstRowFirstColumn="0" w:firstRowLastColumn="0" w:lastRowFirstColumn="0" w:lastRowLastColumn="0"/>
            <w:tcW w:w="1139" w:type="pct"/>
            <w:vAlign w:val="center"/>
          </w:tcPr>
          <w:p w14:paraId="742FF29E" w14:textId="148D7977" w:rsidR="0031740A" w:rsidRPr="00062486" w:rsidRDefault="00EF2EEE" w:rsidP="00EF2EEE">
            <w:pPr>
              <w:pStyle w:val="Prrafodelista"/>
              <w:numPr>
                <w:ilvl w:val="0"/>
                <w:numId w:val="4"/>
              </w:numPr>
              <w:spacing w:after="0" w:line="240" w:lineRule="auto"/>
              <w:rPr>
                <w:rFonts w:ascii="Selawik" w:hAnsi="Selawik"/>
                <w:color w:val="000000" w:themeColor="text1"/>
                <w:sz w:val="16"/>
                <w:szCs w:val="16"/>
              </w:rPr>
            </w:pPr>
            <w:bookmarkStart w:id="5" w:name="_Toc163662008"/>
            <w:r w:rsidRPr="00062486">
              <w:rPr>
                <w:rFonts w:ascii="Selawik" w:hAnsi="Selawik"/>
                <w:bCs w:val="0"/>
                <w:color w:val="000000" w:themeColor="text1"/>
                <w:sz w:val="16"/>
                <w:szCs w:val="16"/>
              </w:rPr>
              <w:t>Porcentaje</w:t>
            </w:r>
            <w:r w:rsidRPr="00062486">
              <w:rPr>
                <w:rFonts w:ascii="Selawik" w:hAnsi="Selawik"/>
                <w:color w:val="000000" w:themeColor="text1"/>
                <w:sz w:val="16"/>
                <w:szCs w:val="16"/>
              </w:rPr>
              <w:t xml:space="preserve"> de folios registrados en la </w:t>
            </w:r>
            <w:r w:rsidR="00062486">
              <w:rPr>
                <w:rFonts w:ascii="Selawik" w:hAnsi="Selawik"/>
                <w:bCs w:val="0"/>
                <w:color w:val="000000" w:themeColor="text1"/>
                <w:sz w:val="16"/>
                <w:szCs w:val="16"/>
              </w:rPr>
              <w:t>B</w:t>
            </w:r>
            <w:r w:rsidR="00062486" w:rsidRPr="00062486">
              <w:rPr>
                <w:rFonts w:ascii="Selawik" w:hAnsi="Selawik"/>
                <w:bCs w:val="0"/>
                <w:color w:val="000000" w:themeColor="text1"/>
                <w:sz w:val="16"/>
                <w:szCs w:val="16"/>
              </w:rPr>
              <w:t xml:space="preserve">itácora </w:t>
            </w:r>
            <w:r w:rsidR="00062486">
              <w:rPr>
                <w:rFonts w:ascii="Selawik" w:hAnsi="Selawik"/>
                <w:bCs w:val="0"/>
                <w:color w:val="000000" w:themeColor="text1"/>
                <w:sz w:val="16"/>
                <w:szCs w:val="16"/>
              </w:rPr>
              <w:t>W</w:t>
            </w:r>
            <w:r w:rsidR="00062486" w:rsidRPr="00062486">
              <w:rPr>
                <w:rFonts w:ascii="Selawik" w:hAnsi="Selawik"/>
                <w:bCs w:val="0"/>
                <w:color w:val="000000" w:themeColor="text1"/>
                <w:sz w:val="16"/>
                <w:szCs w:val="16"/>
              </w:rPr>
              <w:t xml:space="preserve">eb </w:t>
            </w:r>
            <w:r w:rsidR="00062486">
              <w:rPr>
                <w:rFonts w:ascii="Selawik" w:hAnsi="Selawik"/>
                <w:bCs w:val="0"/>
                <w:color w:val="000000" w:themeColor="text1"/>
                <w:sz w:val="16"/>
                <w:szCs w:val="16"/>
              </w:rPr>
              <w:t>N</w:t>
            </w:r>
            <w:r w:rsidR="00062486" w:rsidRPr="00062486">
              <w:rPr>
                <w:rFonts w:ascii="Selawik" w:hAnsi="Selawik"/>
                <w:bCs w:val="0"/>
                <w:color w:val="000000" w:themeColor="text1"/>
                <w:sz w:val="16"/>
                <w:szCs w:val="16"/>
              </w:rPr>
              <w:t>acional (</w:t>
            </w:r>
            <w:r w:rsidR="00062486">
              <w:rPr>
                <w:rFonts w:ascii="Selawik" w:hAnsi="Selawik"/>
                <w:bCs w:val="0"/>
                <w:color w:val="000000" w:themeColor="text1"/>
                <w:sz w:val="16"/>
                <w:szCs w:val="16"/>
              </w:rPr>
              <w:t>BWN</w:t>
            </w:r>
            <w:r w:rsidR="00062486" w:rsidRPr="00062486">
              <w:rPr>
                <w:rFonts w:ascii="Selawik" w:hAnsi="Selawik"/>
                <w:bCs w:val="0"/>
                <w:color w:val="000000" w:themeColor="text1"/>
                <w:sz w:val="16"/>
                <w:szCs w:val="16"/>
              </w:rPr>
              <w:t xml:space="preserve">) </w:t>
            </w:r>
            <w:r w:rsidRPr="00062486">
              <w:rPr>
                <w:rFonts w:ascii="Selawik" w:hAnsi="Selawik"/>
                <w:color w:val="000000" w:themeColor="text1"/>
                <w:sz w:val="16"/>
                <w:szCs w:val="16"/>
              </w:rPr>
              <w:t>sin ruc ingresado en el plazo.</w:t>
            </w:r>
            <w:bookmarkEnd w:id="5"/>
          </w:p>
        </w:tc>
        <w:tc>
          <w:tcPr>
            <w:tcW w:w="2219" w:type="pct"/>
            <w:vAlign w:val="center"/>
          </w:tcPr>
          <w:p w14:paraId="6E7B8744" w14:textId="6C41655D" w:rsidR="0031740A" w:rsidRPr="00062486" w:rsidRDefault="00217E19" w:rsidP="0031740A">
            <w:pP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hAnsi="Selawik" w:cs="Arial"/>
                <w:color w:val="000000" w:themeColor="text1"/>
                <w:sz w:val="16"/>
                <w:szCs w:val="16"/>
              </w:rPr>
              <w:t xml:space="preserve">(Número de folios sin RUC registrado en BWN, en un </w:t>
            </w:r>
            <w:r w:rsidRPr="00062486">
              <w:rPr>
                <w:rFonts w:ascii="Selawik" w:hAnsi="Selawik" w:cs="Arial"/>
                <w:b/>
                <w:bCs/>
                <w:color w:val="000000" w:themeColor="text1"/>
                <w:sz w:val="16"/>
                <w:szCs w:val="16"/>
              </w:rPr>
              <w:t>plazo mayor o igual a 5 días</w:t>
            </w:r>
            <w:r w:rsidRPr="00062486">
              <w:rPr>
                <w:rFonts w:ascii="Selawik" w:hAnsi="Selawik" w:cs="Arial"/>
                <w:color w:val="000000" w:themeColor="text1"/>
                <w:sz w:val="16"/>
                <w:szCs w:val="16"/>
              </w:rPr>
              <w:t xml:space="preserve"> desde el ingreso del folio) / (Número de folios registrados en BWN) * 100</w:t>
            </w:r>
          </w:p>
        </w:tc>
        <w:tc>
          <w:tcPr>
            <w:tcW w:w="500" w:type="pct"/>
            <w:vAlign w:val="center"/>
          </w:tcPr>
          <w:p w14:paraId="14011CE3" w14:textId="77777777" w:rsidR="0031740A" w:rsidRPr="00062486" w:rsidRDefault="0031740A" w:rsidP="00254389">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Monitoreo</w:t>
            </w:r>
          </w:p>
        </w:tc>
        <w:tc>
          <w:tcPr>
            <w:tcW w:w="493" w:type="pct"/>
            <w:vAlign w:val="center"/>
          </w:tcPr>
          <w:p w14:paraId="09BDFA93" w14:textId="31221611" w:rsidR="0031740A" w:rsidRPr="00062486" w:rsidRDefault="0087684B" w:rsidP="00022785">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color w:val="000000" w:themeColor="text1"/>
                <w:sz w:val="16"/>
                <w:szCs w:val="16"/>
                <w:lang w:val="es-CL" w:eastAsia="es-CL"/>
              </w:rPr>
            </w:pPr>
            <w:r>
              <w:rPr>
                <w:rFonts w:ascii="Selawik" w:eastAsiaTheme="minorEastAsia" w:hAnsi="Selawik" w:cstheme="minorBidi"/>
                <w:color w:val="000000" w:themeColor="text1"/>
                <w:sz w:val="16"/>
                <w:szCs w:val="16"/>
                <w:lang w:val="es-CL" w:eastAsia="es-CL"/>
              </w:rPr>
              <w:t>53.18</w:t>
            </w:r>
            <w:r w:rsidR="00B34A3F" w:rsidRPr="00062486">
              <w:rPr>
                <w:rFonts w:ascii="Selawik" w:eastAsiaTheme="minorEastAsia" w:hAnsi="Selawik" w:cstheme="minorBidi"/>
                <w:color w:val="000000" w:themeColor="text1"/>
                <w:sz w:val="16"/>
                <w:szCs w:val="16"/>
                <w:lang w:val="es-CL" w:eastAsia="es-CL"/>
              </w:rPr>
              <w:t>%</w:t>
            </w:r>
          </w:p>
        </w:tc>
        <w:tc>
          <w:tcPr>
            <w:tcW w:w="649" w:type="pct"/>
            <w:vAlign w:val="center"/>
          </w:tcPr>
          <w:p w14:paraId="58427F2A" w14:textId="77777777" w:rsidR="0031740A" w:rsidRPr="00062486" w:rsidRDefault="0031740A" w:rsidP="00254389">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7576DE23" w14:textId="77777777" w:rsidTr="00586896">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1139" w:type="pct"/>
            <w:tcBorders>
              <w:top w:val="none" w:sz="0" w:space="0" w:color="auto"/>
              <w:left w:val="none" w:sz="0" w:space="0" w:color="auto"/>
              <w:bottom w:val="none" w:sz="0" w:space="0" w:color="auto"/>
            </w:tcBorders>
            <w:vAlign w:val="center"/>
          </w:tcPr>
          <w:p w14:paraId="70A0948A" w14:textId="589F0885" w:rsidR="0031740A" w:rsidRPr="00062486" w:rsidRDefault="00EF2EEE" w:rsidP="00EF2EEE">
            <w:pPr>
              <w:pStyle w:val="Prrafodelista"/>
              <w:numPr>
                <w:ilvl w:val="0"/>
                <w:numId w:val="4"/>
              </w:numPr>
              <w:spacing w:after="0" w:line="240" w:lineRule="auto"/>
              <w:rPr>
                <w:rFonts w:ascii="Selawik" w:hAnsi="Selawik"/>
                <w:bCs w:val="0"/>
                <w:color w:val="000000" w:themeColor="text1"/>
                <w:sz w:val="16"/>
                <w:szCs w:val="16"/>
              </w:rPr>
            </w:pPr>
            <w:bookmarkStart w:id="6" w:name="_Toc163662009"/>
            <w:r w:rsidRPr="00062486">
              <w:rPr>
                <w:rFonts w:ascii="Selawik" w:hAnsi="Selawik"/>
                <w:bCs w:val="0"/>
                <w:color w:val="000000" w:themeColor="text1"/>
                <w:sz w:val="16"/>
                <w:szCs w:val="16"/>
              </w:rPr>
              <w:t xml:space="preserve">Porcentaje de folios registrados en la </w:t>
            </w:r>
            <w:r w:rsidR="00062486">
              <w:rPr>
                <w:rFonts w:ascii="Selawik" w:hAnsi="Selawik"/>
                <w:bCs w:val="0"/>
                <w:color w:val="000000" w:themeColor="text1"/>
                <w:sz w:val="16"/>
                <w:szCs w:val="16"/>
              </w:rPr>
              <w:t>B</w:t>
            </w:r>
            <w:r w:rsidR="00062486" w:rsidRPr="00062486">
              <w:rPr>
                <w:rFonts w:ascii="Selawik" w:hAnsi="Selawik"/>
                <w:bCs w:val="0"/>
                <w:color w:val="000000" w:themeColor="text1"/>
                <w:sz w:val="16"/>
                <w:szCs w:val="16"/>
              </w:rPr>
              <w:t xml:space="preserve">itácora </w:t>
            </w:r>
            <w:r w:rsidR="00062486">
              <w:rPr>
                <w:rFonts w:ascii="Selawik" w:hAnsi="Selawik"/>
                <w:bCs w:val="0"/>
                <w:color w:val="000000" w:themeColor="text1"/>
                <w:sz w:val="16"/>
                <w:szCs w:val="16"/>
              </w:rPr>
              <w:t>W</w:t>
            </w:r>
            <w:r w:rsidR="00062486" w:rsidRPr="00062486">
              <w:rPr>
                <w:rFonts w:ascii="Selawik" w:hAnsi="Selawik"/>
                <w:bCs w:val="0"/>
                <w:color w:val="000000" w:themeColor="text1"/>
                <w:sz w:val="16"/>
                <w:szCs w:val="16"/>
              </w:rPr>
              <w:t xml:space="preserve">eb </w:t>
            </w:r>
            <w:r w:rsidR="00062486">
              <w:rPr>
                <w:rFonts w:ascii="Selawik" w:hAnsi="Selawik"/>
                <w:bCs w:val="0"/>
                <w:color w:val="000000" w:themeColor="text1"/>
                <w:sz w:val="16"/>
                <w:szCs w:val="16"/>
              </w:rPr>
              <w:t>N</w:t>
            </w:r>
            <w:r w:rsidR="00062486" w:rsidRPr="00062486">
              <w:rPr>
                <w:rFonts w:ascii="Selawik" w:hAnsi="Selawik"/>
                <w:bCs w:val="0"/>
                <w:color w:val="000000" w:themeColor="text1"/>
                <w:sz w:val="16"/>
                <w:szCs w:val="16"/>
              </w:rPr>
              <w:t>acional (</w:t>
            </w:r>
            <w:r w:rsidR="00062486">
              <w:rPr>
                <w:rFonts w:ascii="Selawik" w:hAnsi="Selawik"/>
                <w:bCs w:val="0"/>
                <w:color w:val="000000" w:themeColor="text1"/>
                <w:sz w:val="16"/>
                <w:szCs w:val="16"/>
              </w:rPr>
              <w:t>BWN</w:t>
            </w:r>
            <w:r w:rsidR="00062486" w:rsidRPr="00062486">
              <w:rPr>
                <w:rFonts w:ascii="Selawik" w:hAnsi="Selawik"/>
                <w:bCs w:val="0"/>
                <w:color w:val="000000" w:themeColor="text1"/>
                <w:sz w:val="16"/>
                <w:szCs w:val="16"/>
              </w:rPr>
              <w:t xml:space="preserve">) </w:t>
            </w:r>
            <w:r w:rsidRPr="00062486">
              <w:rPr>
                <w:rFonts w:ascii="Selawik" w:hAnsi="Selawik"/>
                <w:bCs w:val="0"/>
                <w:color w:val="000000" w:themeColor="text1"/>
                <w:sz w:val="16"/>
                <w:szCs w:val="16"/>
              </w:rPr>
              <w:t xml:space="preserve">asociados a delitos de homicidios definidos, no vinculados a </w:t>
            </w:r>
            <w:r w:rsidR="00DB72A2" w:rsidRPr="00062486">
              <w:rPr>
                <w:rFonts w:ascii="Selawik" w:hAnsi="Selawik"/>
                <w:bCs w:val="0"/>
                <w:color w:val="000000" w:themeColor="text1"/>
                <w:sz w:val="16"/>
                <w:szCs w:val="16"/>
              </w:rPr>
              <w:t>ECOH</w:t>
            </w:r>
            <w:r w:rsidRPr="00062486">
              <w:rPr>
                <w:rFonts w:ascii="Selawik" w:hAnsi="Selawik"/>
                <w:bCs w:val="0"/>
                <w:color w:val="000000" w:themeColor="text1"/>
                <w:sz w:val="16"/>
                <w:szCs w:val="16"/>
              </w:rPr>
              <w:t>, que cuentan con asistencia al sitio del suceso por el fiscal.</w:t>
            </w:r>
            <w:bookmarkEnd w:id="6"/>
          </w:p>
        </w:tc>
        <w:tc>
          <w:tcPr>
            <w:tcW w:w="2219" w:type="pct"/>
            <w:tcBorders>
              <w:top w:val="none" w:sz="0" w:space="0" w:color="auto"/>
              <w:bottom w:val="none" w:sz="0" w:space="0" w:color="auto"/>
            </w:tcBorders>
            <w:vAlign w:val="center"/>
          </w:tcPr>
          <w:p w14:paraId="5B6F6EE3" w14:textId="7B0E2C2C" w:rsidR="0031740A" w:rsidRPr="00062486" w:rsidRDefault="00217E19" w:rsidP="0031740A">
            <w:pP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hAnsi="Selawik" w:cs="Arial"/>
                <w:color w:val="000000" w:themeColor="text1"/>
                <w:sz w:val="16"/>
                <w:szCs w:val="16"/>
              </w:rPr>
              <w:t>(Número Folios registrados en BWN asociados a homicidios definidos, no vinculados a ECOH, que cuenta con asistencia por el Fiscal al sitio del suceso) / (Número de folios registrados en BWN asociados a homicidios, no vinculados a ECOH) * 100</w:t>
            </w:r>
          </w:p>
        </w:tc>
        <w:tc>
          <w:tcPr>
            <w:tcW w:w="500" w:type="pct"/>
            <w:tcBorders>
              <w:top w:val="none" w:sz="0" w:space="0" w:color="auto"/>
              <w:bottom w:val="none" w:sz="0" w:space="0" w:color="auto"/>
            </w:tcBorders>
            <w:vAlign w:val="center"/>
          </w:tcPr>
          <w:p w14:paraId="5CFDE4F0" w14:textId="77777777" w:rsidR="0031740A" w:rsidRPr="00062486" w:rsidRDefault="0031740A" w:rsidP="00254389">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Monitoreo</w:t>
            </w:r>
          </w:p>
        </w:tc>
        <w:tc>
          <w:tcPr>
            <w:tcW w:w="493" w:type="pct"/>
            <w:tcBorders>
              <w:top w:val="none" w:sz="0" w:space="0" w:color="auto"/>
              <w:bottom w:val="none" w:sz="0" w:space="0" w:color="auto"/>
            </w:tcBorders>
            <w:vAlign w:val="center"/>
          </w:tcPr>
          <w:p w14:paraId="1344A94D" w14:textId="18ED5F64" w:rsidR="0031740A" w:rsidRPr="00062486" w:rsidRDefault="000E368D" w:rsidP="00022785">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color w:val="000000" w:themeColor="text1"/>
                <w:sz w:val="16"/>
                <w:szCs w:val="16"/>
                <w:lang w:val="es-CL" w:eastAsia="es-CL"/>
              </w:rPr>
            </w:pPr>
            <w:r w:rsidRPr="00062486">
              <w:rPr>
                <w:rFonts w:ascii="Selawik" w:eastAsiaTheme="minorEastAsia" w:hAnsi="Selawik" w:cstheme="minorBidi"/>
                <w:color w:val="000000" w:themeColor="text1"/>
                <w:sz w:val="16"/>
                <w:szCs w:val="16"/>
                <w:lang w:val="es-CL" w:eastAsia="es-CL"/>
              </w:rPr>
              <w:t>4.</w:t>
            </w:r>
            <w:r w:rsidR="0087684B">
              <w:rPr>
                <w:rFonts w:ascii="Selawik" w:eastAsiaTheme="minorEastAsia" w:hAnsi="Selawik" w:cstheme="minorBidi"/>
                <w:color w:val="000000" w:themeColor="text1"/>
                <w:sz w:val="16"/>
                <w:szCs w:val="16"/>
                <w:lang w:val="es-CL" w:eastAsia="es-CL"/>
              </w:rPr>
              <w:t>23</w:t>
            </w:r>
            <w:r w:rsidR="00B34A3F" w:rsidRPr="00062486">
              <w:rPr>
                <w:rFonts w:ascii="Selawik" w:eastAsiaTheme="minorEastAsia" w:hAnsi="Selawik" w:cstheme="minorBidi"/>
                <w:color w:val="000000" w:themeColor="text1"/>
                <w:sz w:val="16"/>
                <w:szCs w:val="16"/>
                <w:lang w:val="es-CL" w:eastAsia="es-CL"/>
              </w:rPr>
              <w:t>%</w:t>
            </w:r>
          </w:p>
        </w:tc>
        <w:tc>
          <w:tcPr>
            <w:tcW w:w="649" w:type="pct"/>
            <w:tcBorders>
              <w:top w:val="none" w:sz="0" w:space="0" w:color="auto"/>
              <w:bottom w:val="none" w:sz="0" w:space="0" w:color="auto"/>
              <w:right w:val="none" w:sz="0" w:space="0" w:color="auto"/>
            </w:tcBorders>
            <w:vAlign w:val="center"/>
          </w:tcPr>
          <w:p w14:paraId="4C1FA7D8" w14:textId="77777777" w:rsidR="0031740A" w:rsidRPr="00062486" w:rsidRDefault="0031740A" w:rsidP="00254389">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r w:rsidR="00062486" w:rsidRPr="00674D55" w14:paraId="267FC7F4" w14:textId="77777777" w:rsidTr="00586896">
        <w:trPr>
          <w:trHeight w:val="980"/>
          <w:jc w:val="center"/>
        </w:trPr>
        <w:tc>
          <w:tcPr>
            <w:cnfStyle w:val="001000000000" w:firstRow="0" w:lastRow="0" w:firstColumn="1" w:lastColumn="0" w:oddVBand="0" w:evenVBand="0" w:oddHBand="0" w:evenHBand="0" w:firstRowFirstColumn="0" w:firstRowLastColumn="0" w:lastRowFirstColumn="0" w:lastRowLastColumn="0"/>
            <w:tcW w:w="1139" w:type="pct"/>
            <w:vAlign w:val="center"/>
          </w:tcPr>
          <w:p w14:paraId="6C34C84B" w14:textId="657EC5DB" w:rsidR="00217E19" w:rsidRPr="00062486" w:rsidRDefault="00EF2EEE" w:rsidP="00EF2EEE">
            <w:pPr>
              <w:pStyle w:val="Prrafodelista"/>
              <w:numPr>
                <w:ilvl w:val="0"/>
                <w:numId w:val="4"/>
              </w:numPr>
              <w:spacing w:after="0" w:line="240" w:lineRule="auto"/>
              <w:rPr>
                <w:rFonts w:ascii="Selawik" w:hAnsi="Selawik"/>
                <w:bCs w:val="0"/>
                <w:color w:val="000000" w:themeColor="text1"/>
                <w:sz w:val="16"/>
                <w:szCs w:val="16"/>
              </w:rPr>
            </w:pPr>
            <w:bookmarkStart w:id="7" w:name="_Toc163662010"/>
            <w:r w:rsidRPr="00062486">
              <w:rPr>
                <w:rFonts w:ascii="Selawik" w:hAnsi="Selawik"/>
                <w:bCs w:val="0"/>
                <w:color w:val="000000" w:themeColor="text1"/>
                <w:sz w:val="16"/>
                <w:szCs w:val="16"/>
              </w:rPr>
              <w:t>Porcentaje de focos terminados con imputado(s) formalizado(s)</w:t>
            </w:r>
            <w:bookmarkEnd w:id="7"/>
            <w:r w:rsidR="00217E19" w:rsidRPr="00062486">
              <w:rPr>
                <w:rFonts w:ascii="Selawik" w:hAnsi="Selawik"/>
                <w:bCs w:val="0"/>
                <w:color w:val="000000" w:themeColor="text1"/>
                <w:sz w:val="16"/>
                <w:szCs w:val="16"/>
              </w:rPr>
              <w:t xml:space="preserve"> </w:t>
            </w:r>
          </w:p>
        </w:tc>
        <w:tc>
          <w:tcPr>
            <w:tcW w:w="2219" w:type="pct"/>
            <w:vAlign w:val="center"/>
          </w:tcPr>
          <w:p w14:paraId="3FF4CE85" w14:textId="52F950D0" w:rsidR="00217E19" w:rsidRPr="00062486" w:rsidRDefault="00217E19" w:rsidP="00217E19">
            <w:pP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hAnsi="Selawik" w:cs="Arial"/>
                <w:color w:val="000000" w:themeColor="text1"/>
                <w:sz w:val="16"/>
                <w:szCs w:val="16"/>
              </w:rPr>
              <w:t>(Número de focos terminados en el año de medición con al menos un imputado formalizado / Número de focos terminados en el año de medición) * 100</w:t>
            </w:r>
          </w:p>
        </w:tc>
        <w:tc>
          <w:tcPr>
            <w:tcW w:w="500" w:type="pct"/>
            <w:vAlign w:val="center"/>
          </w:tcPr>
          <w:p w14:paraId="2DA3A619" w14:textId="77777777" w:rsidR="00217E19" w:rsidRPr="00062486" w:rsidRDefault="00217E19" w:rsidP="00217E19">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b/>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Monitoreo</w:t>
            </w:r>
          </w:p>
        </w:tc>
        <w:tc>
          <w:tcPr>
            <w:tcW w:w="493" w:type="pct"/>
            <w:vAlign w:val="center"/>
          </w:tcPr>
          <w:p w14:paraId="7A27E87E" w14:textId="585B8D5A" w:rsidR="00217E19" w:rsidRPr="00062486" w:rsidRDefault="00DB72A2" w:rsidP="00217E19">
            <w:pPr>
              <w:jc w:val="center"/>
              <w:cnfStyle w:val="000000000000" w:firstRow="0" w:lastRow="0" w:firstColumn="0" w:lastColumn="0" w:oddVBand="0" w:evenVBand="0" w:oddHBand="0" w:evenHBand="0" w:firstRowFirstColumn="0" w:firstRowLastColumn="0" w:lastRowFirstColumn="0" w:lastRowLastColumn="0"/>
              <w:rPr>
                <w:rFonts w:ascii="Selawik" w:eastAsiaTheme="minorEastAsia" w:hAnsi="Selawik" w:cstheme="minorBidi"/>
                <w:color w:val="000000" w:themeColor="text1"/>
                <w:sz w:val="16"/>
                <w:szCs w:val="16"/>
                <w:lang w:val="es-CL" w:eastAsia="es-CL"/>
              </w:rPr>
            </w:pPr>
            <w:r w:rsidRPr="00062486">
              <w:rPr>
                <w:rFonts w:ascii="Selawik" w:eastAsiaTheme="minorEastAsia" w:hAnsi="Selawik" w:cstheme="minorBidi"/>
                <w:color w:val="000000" w:themeColor="text1"/>
                <w:sz w:val="16"/>
                <w:szCs w:val="16"/>
                <w:lang w:val="es-CL" w:eastAsia="es-CL"/>
              </w:rPr>
              <w:t>-</w:t>
            </w:r>
          </w:p>
        </w:tc>
        <w:tc>
          <w:tcPr>
            <w:tcW w:w="649" w:type="pct"/>
            <w:vAlign w:val="center"/>
          </w:tcPr>
          <w:p w14:paraId="680F1AB0" w14:textId="4B4A917B" w:rsidR="00217E19" w:rsidRPr="00062486" w:rsidRDefault="00DB72A2" w:rsidP="00217E19">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w:t>
            </w:r>
          </w:p>
        </w:tc>
      </w:tr>
    </w:tbl>
    <w:p w14:paraId="037AD305" w14:textId="77777777" w:rsidR="007717A5" w:rsidRPr="007717A5" w:rsidRDefault="007717A5">
      <w:pPr>
        <w:rPr>
          <w:rFonts w:ascii="Selawik" w:eastAsiaTheme="minorEastAsia" w:hAnsi="Selawik" w:cstheme="minorBidi"/>
          <w:b/>
          <w:color w:val="000000" w:themeColor="text1"/>
          <w:sz w:val="20"/>
          <w:szCs w:val="20"/>
          <w:lang w:val="es-CL" w:eastAsia="es-CL"/>
        </w:rPr>
      </w:pPr>
    </w:p>
    <w:p w14:paraId="1883C171" w14:textId="3126F002" w:rsidR="007717A5" w:rsidRPr="007717A5" w:rsidRDefault="007717A5">
      <w:pPr>
        <w:rPr>
          <w:rFonts w:ascii="Selawik" w:eastAsiaTheme="minorEastAsia" w:hAnsi="Selawik" w:cstheme="minorBidi"/>
          <w:b/>
          <w:color w:val="000000" w:themeColor="text1"/>
          <w:sz w:val="20"/>
          <w:szCs w:val="20"/>
          <w:lang w:val="es-CL" w:eastAsia="es-CL"/>
        </w:rPr>
      </w:pPr>
      <w:r w:rsidRPr="007717A5">
        <w:rPr>
          <w:rFonts w:ascii="Selawik" w:eastAsiaTheme="minorEastAsia" w:hAnsi="Selawik" w:cstheme="minorBidi"/>
          <w:b/>
          <w:color w:val="000000" w:themeColor="text1"/>
          <w:sz w:val="20"/>
          <w:szCs w:val="20"/>
          <w:lang w:val="es-CL" w:eastAsia="es-CL"/>
        </w:rPr>
        <w:lastRenderedPageBreak/>
        <w:t>INDICADOR COMPLEMENTARIO:</w:t>
      </w:r>
    </w:p>
    <w:p w14:paraId="6186D131" w14:textId="77777777" w:rsidR="007717A5" w:rsidRDefault="007717A5"/>
    <w:tbl>
      <w:tblPr>
        <w:tblStyle w:val="Listaclara-nfasis11"/>
        <w:tblW w:w="5076" w:type="pct"/>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120"/>
        <w:gridCol w:w="4539"/>
        <w:gridCol w:w="991"/>
        <w:gridCol w:w="985"/>
        <w:gridCol w:w="1140"/>
      </w:tblGrid>
      <w:tr w:rsidR="001A3E0A" w:rsidRPr="00674D55" w14:paraId="0B949B58" w14:textId="77777777" w:rsidTr="00586896">
        <w:trPr>
          <w:cnfStyle w:val="100000000000" w:firstRow="1" w:lastRow="0" w:firstColumn="0" w:lastColumn="0" w:oddVBand="0" w:evenVBand="0" w:oddHBand="0" w:evenHBand="0" w:firstRowFirstColumn="0" w:firstRowLastColumn="0" w:lastRowFirstColumn="0" w:lastRowLastColumn="0"/>
          <w:trHeight w:val="593"/>
          <w:jc w:val="center"/>
        </w:trPr>
        <w:tc>
          <w:tcPr>
            <w:cnfStyle w:val="001000000000" w:firstRow="0" w:lastRow="0" w:firstColumn="1" w:lastColumn="0" w:oddVBand="0" w:evenVBand="0" w:oddHBand="0" w:evenHBand="0" w:firstRowFirstColumn="0" w:firstRowLastColumn="0" w:lastRowFirstColumn="0" w:lastRowLastColumn="0"/>
            <w:tcW w:w="1084" w:type="pct"/>
            <w:vAlign w:val="center"/>
          </w:tcPr>
          <w:p w14:paraId="71854EA9" w14:textId="162B3EE4" w:rsidR="007717A5" w:rsidRPr="00EF2EEE" w:rsidRDefault="007717A5" w:rsidP="001A3E0A">
            <w:pPr>
              <w:pStyle w:val="Prrafodelista"/>
              <w:spacing w:after="0" w:line="240" w:lineRule="auto"/>
              <w:ind w:left="360"/>
              <w:jc w:val="center"/>
              <w:rPr>
                <w:rFonts w:ascii="Selawik" w:hAnsi="Selawik"/>
                <w:bCs w:val="0"/>
                <w:color w:val="000000" w:themeColor="text1"/>
                <w:sz w:val="20"/>
                <w:szCs w:val="20"/>
              </w:rPr>
            </w:pPr>
            <w:r w:rsidRPr="00674D55">
              <w:rPr>
                <w:rFonts w:ascii="Selawik" w:hAnsi="Selawik" w:cs="Arial"/>
                <w:color w:val="FFFFFF"/>
                <w:sz w:val="12"/>
                <w:szCs w:val="18"/>
              </w:rPr>
              <w:t>INDICADOR</w:t>
            </w:r>
          </w:p>
        </w:tc>
        <w:tc>
          <w:tcPr>
            <w:tcW w:w="2321" w:type="pct"/>
            <w:vAlign w:val="center"/>
          </w:tcPr>
          <w:p w14:paraId="2227A301" w14:textId="1418728B" w:rsidR="007717A5" w:rsidRPr="00EF2EEE" w:rsidRDefault="007717A5" w:rsidP="001A3E0A">
            <w:pPr>
              <w:jc w:val="center"/>
              <w:cnfStyle w:val="100000000000" w:firstRow="1" w:lastRow="0" w:firstColumn="0" w:lastColumn="0" w:oddVBand="0" w:evenVBand="0" w:oddHBand="0" w:evenHBand="0" w:firstRowFirstColumn="0" w:firstRowLastColumn="0" w:lastRowFirstColumn="0" w:lastRowLastColumn="0"/>
              <w:rPr>
                <w:rFonts w:ascii="Selawik" w:eastAsiaTheme="minorEastAsia" w:hAnsi="Selawik" w:cstheme="minorBidi"/>
                <w:bCs w:val="0"/>
                <w:color w:val="000000" w:themeColor="text1"/>
                <w:sz w:val="20"/>
                <w:szCs w:val="20"/>
                <w:lang w:val="es-CL" w:eastAsia="es-CL"/>
              </w:rPr>
            </w:pPr>
            <w:r w:rsidRPr="00674D55">
              <w:rPr>
                <w:rFonts w:ascii="Selawik" w:hAnsi="Selawik" w:cs="Arial"/>
                <w:color w:val="FFFFFF"/>
                <w:sz w:val="12"/>
                <w:szCs w:val="18"/>
              </w:rPr>
              <w:t>DESCRIPCIÓN</w:t>
            </w:r>
          </w:p>
        </w:tc>
        <w:tc>
          <w:tcPr>
            <w:tcW w:w="507" w:type="pct"/>
            <w:vAlign w:val="center"/>
          </w:tcPr>
          <w:p w14:paraId="65A52FB5" w14:textId="08EEFD71" w:rsidR="007717A5" w:rsidRPr="00EF2EEE" w:rsidRDefault="007717A5" w:rsidP="001A3E0A">
            <w:pPr>
              <w:jc w:val="center"/>
              <w:cnfStyle w:val="100000000000" w:firstRow="1" w:lastRow="0" w:firstColumn="0" w:lastColumn="0" w:oddVBand="0" w:evenVBand="0" w:oddHBand="0" w:evenHBand="0" w:firstRowFirstColumn="0" w:firstRowLastColumn="0" w:lastRowFirstColumn="0" w:lastRowLastColumn="0"/>
              <w:rPr>
                <w:rFonts w:ascii="Selawik" w:eastAsiaTheme="minorEastAsia" w:hAnsi="Selawik" w:cstheme="minorBidi"/>
                <w:bCs w:val="0"/>
                <w:color w:val="000000" w:themeColor="text1"/>
                <w:sz w:val="20"/>
                <w:szCs w:val="20"/>
                <w:lang w:val="es-CL" w:eastAsia="es-CL"/>
              </w:rPr>
            </w:pPr>
            <w:r w:rsidRPr="00674D55">
              <w:rPr>
                <w:rFonts w:ascii="Selawik" w:hAnsi="Selawik" w:cs="Arial"/>
                <w:color w:val="FFFFFF"/>
                <w:sz w:val="12"/>
                <w:szCs w:val="18"/>
              </w:rPr>
              <w:t>META ANUAL</w:t>
            </w:r>
          </w:p>
        </w:tc>
        <w:tc>
          <w:tcPr>
            <w:tcW w:w="504" w:type="pct"/>
            <w:vAlign w:val="center"/>
          </w:tcPr>
          <w:p w14:paraId="0D242480" w14:textId="537D7B57" w:rsidR="007717A5" w:rsidRPr="00EF2EEE" w:rsidRDefault="007717A5" w:rsidP="001A3E0A">
            <w:pPr>
              <w:jc w:val="center"/>
              <w:cnfStyle w:val="100000000000" w:firstRow="1" w:lastRow="0" w:firstColumn="0" w:lastColumn="0" w:oddVBand="0" w:evenVBand="0" w:oddHBand="0" w:evenHBand="0" w:firstRowFirstColumn="0" w:firstRowLastColumn="0" w:lastRowFirstColumn="0" w:lastRowLastColumn="0"/>
              <w:rPr>
                <w:rFonts w:ascii="Selawik" w:eastAsiaTheme="minorEastAsia" w:hAnsi="Selawik" w:cstheme="minorBidi"/>
                <w:color w:val="000000" w:themeColor="text1"/>
                <w:sz w:val="20"/>
                <w:szCs w:val="20"/>
                <w:lang w:val="es-CL" w:eastAsia="es-CL"/>
              </w:rPr>
            </w:pPr>
            <w:r w:rsidRPr="00674D55">
              <w:rPr>
                <w:rFonts w:ascii="Selawik" w:hAnsi="Selawik" w:cs="Arial"/>
                <w:color w:val="FFFFFF"/>
                <w:sz w:val="12"/>
                <w:szCs w:val="18"/>
              </w:rPr>
              <w:t>RESULTADO EFECTIVO</w:t>
            </w:r>
          </w:p>
        </w:tc>
        <w:tc>
          <w:tcPr>
            <w:tcW w:w="583" w:type="pct"/>
            <w:vAlign w:val="center"/>
          </w:tcPr>
          <w:p w14:paraId="3E98EBA3" w14:textId="0FF1A7A7" w:rsidR="007717A5" w:rsidRPr="00EF2EEE" w:rsidRDefault="007717A5" w:rsidP="001A3E0A">
            <w:pPr>
              <w:jc w:val="center"/>
              <w:cnfStyle w:val="100000000000" w:firstRow="1" w:lastRow="0" w:firstColumn="0" w:lastColumn="0" w:oddVBand="0" w:evenVBand="0" w:oddHBand="0" w:evenHBand="0" w:firstRowFirstColumn="0" w:firstRowLastColumn="0" w:lastRowFirstColumn="0" w:lastRowLastColumn="0"/>
              <w:rPr>
                <w:rFonts w:ascii="Selawik" w:hAnsi="Selawik" w:cs="Arial"/>
                <w:color w:val="000000" w:themeColor="text1"/>
                <w:sz w:val="20"/>
                <w:szCs w:val="20"/>
              </w:rPr>
            </w:pPr>
            <w:r w:rsidRPr="00674D55">
              <w:rPr>
                <w:rFonts w:ascii="Selawik" w:hAnsi="Selawik" w:cs="Arial"/>
                <w:color w:val="FFFFFF"/>
                <w:sz w:val="12"/>
                <w:szCs w:val="18"/>
              </w:rPr>
              <w:t>ÍNDICE DE CUMPLIMIENTO</w:t>
            </w:r>
          </w:p>
        </w:tc>
      </w:tr>
      <w:tr w:rsidR="001A3E0A" w:rsidRPr="00674D55" w14:paraId="1D6F17F9" w14:textId="77777777" w:rsidTr="00586896">
        <w:trPr>
          <w:cnfStyle w:val="000000100000" w:firstRow="0" w:lastRow="0" w:firstColumn="0" w:lastColumn="0" w:oddVBand="0" w:evenVBand="0" w:oddHBand="1" w:evenHBand="0" w:firstRowFirstColumn="0" w:firstRowLastColumn="0" w:lastRowFirstColumn="0" w:lastRowLastColumn="0"/>
          <w:trHeight w:val="980"/>
          <w:jc w:val="center"/>
        </w:trPr>
        <w:tc>
          <w:tcPr>
            <w:cnfStyle w:val="001000000000" w:firstRow="0" w:lastRow="0" w:firstColumn="1" w:lastColumn="0" w:oddVBand="0" w:evenVBand="0" w:oddHBand="0" w:evenHBand="0" w:firstRowFirstColumn="0" w:firstRowLastColumn="0" w:lastRowFirstColumn="0" w:lastRowLastColumn="0"/>
            <w:tcW w:w="1084" w:type="pct"/>
            <w:tcBorders>
              <w:top w:val="none" w:sz="0" w:space="0" w:color="auto"/>
              <w:left w:val="none" w:sz="0" w:space="0" w:color="auto"/>
              <w:bottom w:val="none" w:sz="0" w:space="0" w:color="auto"/>
            </w:tcBorders>
            <w:vAlign w:val="center"/>
          </w:tcPr>
          <w:p w14:paraId="5067D407" w14:textId="3E795808" w:rsidR="00DB72A2" w:rsidRPr="00062486" w:rsidRDefault="00DB72A2" w:rsidP="00DB72A2">
            <w:pPr>
              <w:rPr>
                <w:rFonts w:ascii="Selawik" w:hAnsi="Selawik"/>
                <w:color w:val="000000" w:themeColor="text1"/>
                <w:sz w:val="16"/>
                <w:szCs w:val="16"/>
              </w:rPr>
            </w:pPr>
            <w:bookmarkStart w:id="8" w:name="_Toc126264425"/>
            <w:bookmarkStart w:id="9" w:name="_Toc163662011"/>
            <w:r w:rsidRPr="00062486">
              <w:rPr>
                <w:rFonts w:ascii="Selawik" w:hAnsi="Selawik"/>
                <w:color w:val="000000" w:themeColor="text1"/>
                <w:sz w:val="16"/>
                <w:szCs w:val="16"/>
              </w:rPr>
              <w:t>Porcentaje de términos por sentencias condenatorias y salidas alternativas respecto del total de términos en el período</w:t>
            </w:r>
            <w:bookmarkEnd w:id="8"/>
            <w:bookmarkEnd w:id="9"/>
          </w:p>
        </w:tc>
        <w:tc>
          <w:tcPr>
            <w:tcW w:w="2321" w:type="pct"/>
            <w:tcBorders>
              <w:top w:val="none" w:sz="0" w:space="0" w:color="auto"/>
              <w:bottom w:val="none" w:sz="0" w:space="0" w:color="auto"/>
            </w:tcBorders>
            <w:vAlign w:val="center"/>
          </w:tcPr>
          <w:p w14:paraId="3A3DFB51" w14:textId="5032FD40" w:rsidR="00DB72A2" w:rsidRPr="00062486" w:rsidRDefault="00DB72A2" w:rsidP="00DB72A2">
            <w:pP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de relaciones concluidas por sentencia definitiva condenatoria, sobreseimiento definitivo artículo 250, requerimiento monitorio más las relaciones suspendidas por acuerdo reparatorio y suspensión condicional del procedimiento, en el período de evaluación / Número total de relaciones concluidas y suspendidas, en el periodo de evaluación) * 100</w:t>
            </w:r>
          </w:p>
        </w:tc>
        <w:tc>
          <w:tcPr>
            <w:tcW w:w="507" w:type="pct"/>
            <w:tcBorders>
              <w:top w:val="none" w:sz="0" w:space="0" w:color="auto"/>
              <w:bottom w:val="none" w:sz="0" w:space="0" w:color="auto"/>
            </w:tcBorders>
            <w:vAlign w:val="center"/>
          </w:tcPr>
          <w:p w14:paraId="76DF260B" w14:textId="4F2A71FE" w:rsidR="00DB72A2" w:rsidRPr="00062486" w:rsidRDefault="00DB72A2" w:rsidP="00DB72A2">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bCs/>
                <w:color w:val="000000" w:themeColor="text1"/>
                <w:sz w:val="16"/>
                <w:szCs w:val="16"/>
                <w:lang w:val="es-CL" w:eastAsia="es-CL"/>
              </w:rPr>
            </w:pPr>
            <w:r w:rsidRPr="00062486">
              <w:rPr>
                <w:rFonts w:ascii="Selawik" w:eastAsiaTheme="minorEastAsia" w:hAnsi="Selawik" w:cstheme="minorBidi"/>
                <w:bCs/>
                <w:color w:val="000000" w:themeColor="text1"/>
                <w:sz w:val="16"/>
                <w:szCs w:val="16"/>
                <w:lang w:val="es-CL" w:eastAsia="es-CL"/>
              </w:rPr>
              <w:t>Monitoreo</w:t>
            </w:r>
          </w:p>
        </w:tc>
        <w:tc>
          <w:tcPr>
            <w:tcW w:w="504" w:type="pct"/>
            <w:tcBorders>
              <w:top w:val="none" w:sz="0" w:space="0" w:color="auto"/>
              <w:bottom w:val="none" w:sz="0" w:space="0" w:color="auto"/>
            </w:tcBorders>
            <w:vAlign w:val="center"/>
          </w:tcPr>
          <w:p w14:paraId="69C3691B" w14:textId="22AE0689" w:rsidR="00DB72A2" w:rsidRPr="00062486" w:rsidRDefault="00DB72A2" w:rsidP="00DB72A2">
            <w:pPr>
              <w:jc w:val="center"/>
              <w:cnfStyle w:val="000000100000" w:firstRow="0" w:lastRow="0" w:firstColumn="0" w:lastColumn="0" w:oddVBand="0" w:evenVBand="0" w:oddHBand="1" w:evenHBand="0" w:firstRowFirstColumn="0" w:firstRowLastColumn="0" w:lastRowFirstColumn="0" w:lastRowLastColumn="0"/>
              <w:rPr>
                <w:rFonts w:ascii="Selawik" w:eastAsiaTheme="minorEastAsia" w:hAnsi="Selawik" w:cstheme="minorBidi"/>
                <w:color w:val="000000" w:themeColor="text1"/>
                <w:sz w:val="16"/>
                <w:szCs w:val="16"/>
                <w:lang w:val="es-CL" w:eastAsia="es-CL"/>
              </w:rPr>
            </w:pPr>
            <w:r w:rsidRPr="00062486">
              <w:rPr>
                <w:rFonts w:ascii="Selawik" w:eastAsiaTheme="minorEastAsia" w:hAnsi="Selawik" w:cstheme="minorBidi"/>
                <w:color w:val="000000" w:themeColor="text1"/>
                <w:sz w:val="16"/>
                <w:szCs w:val="16"/>
                <w:lang w:val="es-CL" w:eastAsia="es-CL"/>
              </w:rPr>
              <w:t>1</w:t>
            </w:r>
            <w:r w:rsidR="00E97951">
              <w:rPr>
                <w:rFonts w:ascii="Selawik" w:eastAsiaTheme="minorEastAsia" w:hAnsi="Selawik" w:cstheme="minorBidi"/>
                <w:color w:val="000000" w:themeColor="text1"/>
                <w:sz w:val="16"/>
                <w:szCs w:val="16"/>
                <w:lang w:val="es-CL" w:eastAsia="es-CL"/>
              </w:rPr>
              <w:t>8</w:t>
            </w:r>
            <w:r w:rsidRPr="00062486">
              <w:rPr>
                <w:rFonts w:ascii="Selawik" w:eastAsiaTheme="minorEastAsia" w:hAnsi="Selawik" w:cstheme="minorBidi"/>
                <w:color w:val="000000" w:themeColor="text1"/>
                <w:sz w:val="16"/>
                <w:szCs w:val="16"/>
                <w:lang w:val="es-CL" w:eastAsia="es-CL"/>
              </w:rPr>
              <w:t>.</w:t>
            </w:r>
            <w:r w:rsidR="0087684B">
              <w:rPr>
                <w:rFonts w:ascii="Selawik" w:eastAsiaTheme="minorEastAsia" w:hAnsi="Selawik" w:cstheme="minorBidi"/>
                <w:color w:val="000000" w:themeColor="text1"/>
                <w:sz w:val="16"/>
                <w:szCs w:val="16"/>
                <w:lang w:val="es-CL" w:eastAsia="es-CL"/>
              </w:rPr>
              <w:t>27</w:t>
            </w:r>
            <w:r w:rsidRPr="00062486">
              <w:rPr>
                <w:rFonts w:ascii="Selawik" w:eastAsiaTheme="minorEastAsia" w:hAnsi="Selawik" w:cstheme="minorBidi"/>
                <w:color w:val="000000" w:themeColor="text1"/>
                <w:sz w:val="16"/>
                <w:szCs w:val="16"/>
                <w:lang w:val="es-CL" w:eastAsia="es-CL"/>
              </w:rPr>
              <w:t>%</w:t>
            </w:r>
          </w:p>
        </w:tc>
        <w:tc>
          <w:tcPr>
            <w:tcW w:w="583" w:type="pct"/>
            <w:tcBorders>
              <w:top w:val="none" w:sz="0" w:space="0" w:color="auto"/>
              <w:bottom w:val="none" w:sz="0" w:space="0" w:color="auto"/>
              <w:right w:val="none" w:sz="0" w:space="0" w:color="auto"/>
            </w:tcBorders>
            <w:vAlign w:val="center"/>
          </w:tcPr>
          <w:p w14:paraId="08A42D6B" w14:textId="762A1223" w:rsidR="00DB72A2" w:rsidRPr="00062486" w:rsidRDefault="00DB72A2" w:rsidP="00DB72A2">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N/A</w:t>
            </w:r>
          </w:p>
        </w:tc>
      </w:tr>
    </w:tbl>
    <w:p w14:paraId="0F269257" w14:textId="77777777" w:rsidR="0060744C" w:rsidRPr="00674D55" w:rsidRDefault="0060744C">
      <w:pPr>
        <w:rPr>
          <w:rFonts w:ascii="Selawik" w:hAnsi="Selawik" w:cs="Arial"/>
          <w:b/>
          <w:lang w:val="es-CL"/>
        </w:rPr>
      </w:pPr>
    </w:p>
    <w:p w14:paraId="15F9DABB" w14:textId="0D64DC9D" w:rsidR="007028A9" w:rsidRDefault="007028A9" w:rsidP="00483DF4">
      <w:pPr>
        <w:rPr>
          <w:rFonts w:ascii="Selawik" w:hAnsi="Selawik" w:cs="Arial"/>
          <w:b/>
          <w:lang w:val="es-CL"/>
        </w:rPr>
      </w:pPr>
    </w:p>
    <w:p w14:paraId="33F11EFA" w14:textId="443E1B03" w:rsidR="001A3E0A" w:rsidRDefault="001A3E0A">
      <w:pPr>
        <w:rPr>
          <w:rFonts w:ascii="Selawik" w:hAnsi="Selawik" w:cs="Arial"/>
          <w:b/>
          <w:lang w:val="es-CL"/>
        </w:rPr>
      </w:pPr>
      <w:r>
        <w:rPr>
          <w:rFonts w:ascii="Selawik" w:hAnsi="Selawik" w:cs="Arial"/>
          <w:b/>
          <w:lang w:val="es-CL"/>
        </w:rPr>
        <w:br w:type="page"/>
      </w:r>
    </w:p>
    <w:p w14:paraId="2D48EFE8" w14:textId="77777777" w:rsidR="004C5016" w:rsidRPr="00674D55" w:rsidRDefault="004C5016" w:rsidP="00291F1B">
      <w:pPr>
        <w:shd w:val="clear" w:color="auto" w:fill="95B3D7" w:themeFill="accent1" w:themeFillTint="99"/>
        <w:rPr>
          <w:rFonts w:ascii="Selawik" w:hAnsi="Selawik" w:cs="Arial"/>
          <w:b/>
          <w:color w:val="FFFFFF" w:themeColor="background1"/>
          <w:sz w:val="28"/>
          <w:szCs w:val="28"/>
        </w:rPr>
      </w:pPr>
      <w:r w:rsidRPr="00674D55">
        <w:rPr>
          <w:rFonts w:ascii="Selawik" w:hAnsi="Selawik" w:cs="Arial"/>
          <w:b/>
          <w:color w:val="FFFFFF" w:themeColor="background1"/>
          <w:sz w:val="28"/>
          <w:szCs w:val="28"/>
        </w:rPr>
        <w:lastRenderedPageBreak/>
        <w:t>PERSPECTIV</w:t>
      </w:r>
      <w:r w:rsidR="00291F1B" w:rsidRPr="00674D55">
        <w:rPr>
          <w:rFonts w:ascii="Selawik" w:hAnsi="Selawik" w:cs="Arial"/>
          <w:b/>
          <w:color w:val="FFFFFF" w:themeColor="background1"/>
          <w:sz w:val="28"/>
          <w:szCs w:val="28"/>
        </w:rPr>
        <w:t>A</w:t>
      </w:r>
      <w:r w:rsidRPr="00674D55">
        <w:rPr>
          <w:rFonts w:ascii="Selawik" w:hAnsi="Selawik" w:cs="Arial"/>
          <w:b/>
          <w:color w:val="FFFFFF" w:themeColor="background1"/>
          <w:sz w:val="28"/>
          <w:szCs w:val="28"/>
        </w:rPr>
        <w:t>:   GESTIÓN APOYO ADMINISTRATIVO</w:t>
      </w:r>
    </w:p>
    <w:p w14:paraId="6228650E" w14:textId="77777777" w:rsidR="004C5016" w:rsidRPr="00674D55" w:rsidRDefault="004C5016" w:rsidP="004C5016">
      <w:pPr>
        <w:rPr>
          <w:rFonts w:ascii="Selawik" w:hAnsi="Selawik" w:cs="Arial"/>
          <w:b/>
          <w:szCs w:val="28"/>
        </w:rPr>
      </w:pPr>
    </w:p>
    <w:p w14:paraId="42B9B8C1" w14:textId="77777777" w:rsidR="004C5016" w:rsidRPr="00674D55" w:rsidRDefault="004C5016" w:rsidP="004C5016">
      <w:pPr>
        <w:spacing w:line="228" w:lineRule="auto"/>
        <w:jc w:val="both"/>
        <w:rPr>
          <w:rFonts w:ascii="Selawik" w:hAnsi="Selawik" w:cs="Arial"/>
          <w:sz w:val="20"/>
          <w:szCs w:val="22"/>
        </w:rPr>
      </w:pPr>
      <w:r w:rsidRPr="00674D55">
        <w:rPr>
          <w:rFonts w:ascii="Selawik" w:hAnsi="Selawik" w:cs="Arial"/>
          <w:b/>
          <w:sz w:val="20"/>
          <w:szCs w:val="22"/>
        </w:rPr>
        <w:t xml:space="preserve">OBJETIVO ESTRATÉGICO VINCULADO: </w:t>
      </w:r>
      <w:r w:rsidRPr="00674D55">
        <w:rPr>
          <w:rFonts w:ascii="Selawik" w:hAnsi="Selawik"/>
          <w:sz w:val="20"/>
          <w:szCs w:val="22"/>
        </w:rPr>
        <w:t>Consolidar los modelos de gestión institucional optimizando sus sistemas de apoyo.</w:t>
      </w:r>
    </w:p>
    <w:p w14:paraId="76E6388F" w14:textId="77777777" w:rsidR="004C5016" w:rsidRPr="00674D55" w:rsidRDefault="004C5016" w:rsidP="004C5016">
      <w:pPr>
        <w:rPr>
          <w:rFonts w:ascii="Selawik" w:hAnsi="Selawik"/>
        </w:rPr>
      </w:pPr>
    </w:p>
    <w:tbl>
      <w:tblPr>
        <w:tblStyle w:val="Listaclara-nfasis11"/>
        <w:tblW w:w="5076" w:type="pct"/>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077"/>
        <w:gridCol w:w="4547"/>
        <w:gridCol w:w="1026"/>
        <w:gridCol w:w="985"/>
        <w:gridCol w:w="1140"/>
      </w:tblGrid>
      <w:tr w:rsidR="001A3E0A" w:rsidRPr="00674D55" w14:paraId="462480BF" w14:textId="77777777" w:rsidTr="00586896">
        <w:trPr>
          <w:cnfStyle w:val="100000000000" w:firstRow="1" w:lastRow="0" w:firstColumn="0" w:lastColumn="0" w:oddVBand="0" w:evenVBand="0" w:oddHBand="0" w:evenHBand="0" w:firstRowFirstColumn="0" w:firstRowLastColumn="0" w:lastRowFirstColumn="0" w:lastRowLastColumn="0"/>
          <w:trHeight w:val="414"/>
          <w:tblHeader/>
          <w:jc w:val="center"/>
        </w:trPr>
        <w:tc>
          <w:tcPr>
            <w:cnfStyle w:val="001000000000" w:firstRow="0" w:lastRow="0" w:firstColumn="1" w:lastColumn="0" w:oddVBand="0" w:evenVBand="0" w:oddHBand="0" w:evenHBand="0" w:firstRowFirstColumn="0" w:firstRowLastColumn="0" w:lastRowFirstColumn="0" w:lastRowLastColumn="0"/>
            <w:tcW w:w="1062" w:type="pct"/>
            <w:vAlign w:val="center"/>
          </w:tcPr>
          <w:p w14:paraId="7914AF98" w14:textId="77D1012B" w:rsidR="001A3E0A" w:rsidRPr="00674D55" w:rsidRDefault="001A3E0A" w:rsidP="001A3E0A">
            <w:pPr>
              <w:jc w:val="center"/>
              <w:rPr>
                <w:rFonts w:ascii="Selawik" w:hAnsi="Selawik" w:cs="Arial"/>
                <w:b w:val="0"/>
                <w:color w:val="FFFFFF"/>
                <w:sz w:val="14"/>
                <w:szCs w:val="18"/>
              </w:rPr>
            </w:pPr>
            <w:r w:rsidRPr="00674D55">
              <w:rPr>
                <w:rFonts w:ascii="Selawik" w:hAnsi="Selawik" w:cs="Arial"/>
                <w:color w:val="FFFFFF"/>
                <w:sz w:val="12"/>
                <w:szCs w:val="18"/>
              </w:rPr>
              <w:t>INDICADOR</w:t>
            </w:r>
          </w:p>
        </w:tc>
        <w:tc>
          <w:tcPr>
            <w:tcW w:w="2326" w:type="pct"/>
            <w:vAlign w:val="center"/>
          </w:tcPr>
          <w:p w14:paraId="29A15EEB" w14:textId="70193197" w:rsidR="001A3E0A" w:rsidRPr="00674D55" w:rsidRDefault="001A3E0A" w:rsidP="001A3E0A">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color w:val="FFFFFF"/>
                <w:sz w:val="14"/>
                <w:szCs w:val="18"/>
              </w:rPr>
            </w:pPr>
            <w:r w:rsidRPr="00674D55">
              <w:rPr>
                <w:rFonts w:ascii="Selawik" w:hAnsi="Selawik" w:cs="Arial"/>
                <w:color w:val="FFFFFF"/>
                <w:sz w:val="12"/>
                <w:szCs w:val="18"/>
              </w:rPr>
              <w:t>DESCRIPCIÓN</w:t>
            </w:r>
          </w:p>
        </w:tc>
        <w:tc>
          <w:tcPr>
            <w:tcW w:w="525" w:type="pct"/>
            <w:vAlign w:val="center"/>
          </w:tcPr>
          <w:p w14:paraId="105DF8FC" w14:textId="11906FEF" w:rsidR="001A3E0A" w:rsidRPr="00674D55" w:rsidRDefault="001A3E0A" w:rsidP="001A3E0A">
            <w:pPr>
              <w:cnfStyle w:val="100000000000" w:firstRow="1" w:lastRow="0" w:firstColumn="0" w:lastColumn="0" w:oddVBand="0" w:evenVBand="0" w:oddHBand="0" w:evenHBand="0" w:firstRowFirstColumn="0" w:firstRowLastColumn="0" w:lastRowFirstColumn="0" w:lastRowLastColumn="0"/>
              <w:rPr>
                <w:rFonts w:ascii="Selawik" w:hAnsi="Selawik" w:cs="Arial"/>
                <w:b w:val="0"/>
                <w:color w:val="FFFFFF"/>
                <w:sz w:val="14"/>
                <w:szCs w:val="18"/>
              </w:rPr>
            </w:pPr>
            <w:r w:rsidRPr="00674D55">
              <w:rPr>
                <w:rFonts w:ascii="Selawik" w:hAnsi="Selawik" w:cs="Arial"/>
                <w:color w:val="FFFFFF"/>
                <w:sz w:val="12"/>
                <w:szCs w:val="18"/>
              </w:rPr>
              <w:t>META ANUAL</w:t>
            </w:r>
          </w:p>
        </w:tc>
        <w:tc>
          <w:tcPr>
            <w:tcW w:w="504" w:type="pct"/>
            <w:vAlign w:val="center"/>
          </w:tcPr>
          <w:p w14:paraId="002595C5" w14:textId="6E8D60EA" w:rsidR="001A3E0A" w:rsidRPr="00674D55" w:rsidRDefault="001A3E0A" w:rsidP="001A3E0A">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color w:val="FFFFFF"/>
                <w:sz w:val="14"/>
                <w:szCs w:val="18"/>
              </w:rPr>
            </w:pPr>
            <w:r w:rsidRPr="00674D55">
              <w:rPr>
                <w:rFonts w:ascii="Selawik" w:hAnsi="Selawik" w:cs="Arial"/>
                <w:color w:val="FFFFFF"/>
                <w:sz w:val="12"/>
                <w:szCs w:val="18"/>
              </w:rPr>
              <w:t>RESULTADO EFECTIVO</w:t>
            </w:r>
          </w:p>
        </w:tc>
        <w:tc>
          <w:tcPr>
            <w:tcW w:w="583" w:type="pct"/>
            <w:vAlign w:val="center"/>
          </w:tcPr>
          <w:p w14:paraId="3CEF5F36" w14:textId="6AA0F9FC" w:rsidR="001A3E0A" w:rsidRPr="00674D55" w:rsidRDefault="001A3E0A" w:rsidP="001A3E0A">
            <w:pPr>
              <w:jc w:val="center"/>
              <w:cnfStyle w:val="100000000000" w:firstRow="1" w:lastRow="0" w:firstColumn="0" w:lastColumn="0" w:oddVBand="0" w:evenVBand="0" w:oddHBand="0" w:evenHBand="0" w:firstRowFirstColumn="0" w:firstRowLastColumn="0" w:lastRowFirstColumn="0" w:lastRowLastColumn="0"/>
              <w:rPr>
                <w:rFonts w:ascii="Selawik" w:hAnsi="Selawik" w:cs="Arial"/>
                <w:b w:val="0"/>
                <w:color w:val="FFFFFF"/>
                <w:sz w:val="14"/>
                <w:szCs w:val="18"/>
              </w:rPr>
            </w:pPr>
            <w:r w:rsidRPr="00674D55">
              <w:rPr>
                <w:rFonts w:ascii="Selawik" w:hAnsi="Selawik" w:cs="Arial"/>
                <w:color w:val="FFFFFF"/>
                <w:sz w:val="12"/>
                <w:szCs w:val="18"/>
              </w:rPr>
              <w:t>ÍNDICE DE CUMPLIMIENTO</w:t>
            </w:r>
          </w:p>
        </w:tc>
      </w:tr>
      <w:tr w:rsidR="001A3E0A" w:rsidRPr="00674D55" w14:paraId="26048D10" w14:textId="77777777" w:rsidTr="00586896">
        <w:trPr>
          <w:cnfStyle w:val="000000100000" w:firstRow="0" w:lastRow="0" w:firstColumn="0" w:lastColumn="0" w:oddVBand="0" w:evenVBand="0" w:oddHBand="1" w:evenHBand="0" w:firstRowFirstColumn="0" w:firstRowLastColumn="0" w:lastRowFirstColumn="0" w:lastRowLastColumn="0"/>
          <w:trHeight w:val="848"/>
          <w:jc w:val="center"/>
        </w:trPr>
        <w:tc>
          <w:tcPr>
            <w:cnfStyle w:val="001000000000" w:firstRow="0" w:lastRow="0" w:firstColumn="1" w:lastColumn="0" w:oddVBand="0" w:evenVBand="0" w:oddHBand="0" w:evenHBand="0" w:firstRowFirstColumn="0" w:firstRowLastColumn="0" w:lastRowFirstColumn="0" w:lastRowLastColumn="0"/>
            <w:tcW w:w="1062" w:type="pct"/>
            <w:tcBorders>
              <w:top w:val="none" w:sz="0" w:space="0" w:color="auto"/>
              <w:left w:val="none" w:sz="0" w:space="0" w:color="auto"/>
              <w:bottom w:val="none" w:sz="0" w:space="0" w:color="auto"/>
            </w:tcBorders>
            <w:vAlign w:val="center"/>
          </w:tcPr>
          <w:p w14:paraId="016BF75B" w14:textId="77777777" w:rsidR="002C2860" w:rsidRPr="00062486" w:rsidRDefault="002C2860" w:rsidP="00A15E70">
            <w:pPr>
              <w:pStyle w:val="Prrafodelista"/>
              <w:numPr>
                <w:ilvl w:val="0"/>
                <w:numId w:val="5"/>
              </w:numPr>
              <w:spacing w:after="0" w:line="240" w:lineRule="auto"/>
              <w:rPr>
                <w:rFonts w:ascii="Selawik" w:hAnsi="Selawik" w:cs="Arial"/>
                <w:color w:val="000000" w:themeColor="text1"/>
                <w:sz w:val="16"/>
                <w:szCs w:val="16"/>
              </w:rPr>
            </w:pPr>
            <w:r w:rsidRPr="00062486">
              <w:rPr>
                <w:rFonts w:ascii="Selawik" w:hAnsi="Selawik" w:cs="Arial"/>
                <w:color w:val="000000" w:themeColor="text1"/>
                <w:sz w:val="16"/>
                <w:szCs w:val="16"/>
              </w:rPr>
              <w:t>Ejecución presupuestaria</w:t>
            </w:r>
          </w:p>
        </w:tc>
        <w:tc>
          <w:tcPr>
            <w:tcW w:w="2326" w:type="pct"/>
            <w:tcBorders>
              <w:top w:val="none" w:sz="0" w:space="0" w:color="auto"/>
              <w:bottom w:val="none" w:sz="0" w:space="0" w:color="auto"/>
            </w:tcBorders>
            <w:vAlign w:val="center"/>
          </w:tcPr>
          <w:p w14:paraId="25FD1AFA" w14:textId="7FD46638" w:rsidR="002C2860" w:rsidRPr="00062486" w:rsidRDefault="00674D55" w:rsidP="00A15E70">
            <w:pP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(Monto total ejecutado por la fiscalía regional en el año t) / (Monto total del presupuesto vigente de la fiscalía regional en el año t) * 100.</w:t>
            </w:r>
          </w:p>
        </w:tc>
        <w:tc>
          <w:tcPr>
            <w:tcW w:w="525" w:type="pct"/>
            <w:tcBorders>
              <w:top w:val="none" w:sz="0" w:space="0" w:color="auto"/>
              <w:bottom w:val="none" w:sz="0" w:space="0" w:color="auto"/>
            </w:tcBorders>
            <w:vAlign w:val="center"/>
          </w:tcPr>
          <w:p w14:paraId="7A00B625" w14:textId="77777777" w:rsidR="002C2860" w:rsidRPr="00062486" w:rsidRDefault="002C2860" w:rsidP="00A15E70">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theme="minorHAnsi"/>
                <w:bCs/>
                <w:color w:val="000000" w:themeColor="text1"/>
                <w:sz w:val="16"/>
                <w:szCs w:val="16"/>
              </w:rPr>
              <w:t>&gt;=99%</w:t>
            </w:r>
          </w:p>
        </w:tc>
        <w:tc>
          <w:tcPr>
            <w:tcW w:w="504" w:type="pct"/>
            <w:tcBorders>
              <w:top w:val="none" w:sz="0" w:space="0" w:color="auto"/>
              <w:bottom w:val="none" w:sz="0" w:space="0" w:color="auto"/>
            </w:tcBorders>
            <w:vAlign w:val="center"/>
          </w:tcPr>
          <w:p w14:paraId="0858A02B" w14:textId="2BE552FE" w:rsidR="00C17850" w:rsidRPr="00062486" w:rsidRDefault="00213B8A" w:rsidP="003C4271">
            <w:pPr>
              <w:jc w:val="center"/>
              <w:cnfStyle w:val="000000100000" w:firstRow="0" w:lastRow="0" w:firstColumn="0" w:lastColumn="0" w:oddVBand="0" w:evenVBand="0" w:oddHBand="1" w:evenHBand="0" w:firstRowFirstColumn="0" w:firstRowLastColumn="0" w:lastRowFirstColumn="0" w:lastRowLastColumn="0"/>
              <w:rPr>
                <w:rFonts w:ascii="Selawik" w:hAnsi="Selawik" w:cstheme="minorHAnsi"/>
                <w:bCs/>
                <w:color w:val="000000" w:themeColor="text1"/>
                <w:sz w:val="16"/>
                <w:szCs w:val="16"/>
              </w:rPr>
            </w:pPr>
            <w:r>
              <w:rPr>
                <w:rFonts w:ascii="Selawik" w:hAnsi="Selawik" w:cstheme="minorHAnsi"/>
                <w:bCs/>
                <w:color w:val="000000" w:themeColor="text1"/>
                <w:sz w:val="16"/>
                <w:szCs w:val="16"/>
              </w:rPr>
              <w:t>60.83%</w:t>
            </w:r>
          </w:p>
        </w:tc>
        <w:tc>
          <w:tcPr>
            <w:tcW w:w="583" w:type="pct"/>
            <w:tcBorders>
              <w:top w:val="none" w:sz="0" w:space="0" w:color="auto"/>
              <w:bottom w:val="none" w:sz="0" w:space="0" w:color="auto"/>
              <w:right w:val="none" w:sz="0" w:space="0" w:color="auto"/>
            </w:tcBorders>
            <w:vAlign w:val="center"/>
          </w:tcPr>
          <w:p w14:paraId="4B055116" w14:textId="77DE0BAD" w:rsidR="002C2860" w:rsidRPr="00062486" w:rsidRDefault="00213B8A" w:rsidP="003C4271">
            <w:pPr>
              <w:spacing w:line="360" w:lineRule="auto"/>
              <w:jc w:val="center"/>
              <w:cnfStyle w:val="000000100000" w:firstRow="0" w:lastRow="0" w:firstColumn="0" w:lastColumn="0" w:oddVBand="0" w:evenVBand="0" w:oddHBand="1" w:evenHBand="0" w:firstRowFirstColumn="0" w:firstRowLastColumn="0" w:lastRowFirstColumn="0" w:lastRowLastColumn="0"/>
              <w:rPr>
                <w:rFonts w:ascii="Selawik" w:hAnsi="Selawik" w:cstheme="minorHAnsi"/>
                <w:bCs/>
                <w:color w:val="000000" w:themeColor="text1"/>
                <w:sz w:val="16"/>
                <w:szCs w:val="16"/>
              </w:rPr>
            </w:pPr>
            <w:r>
              <w:rPr>
                <w:rFonts w:ascii="Selawik" w:hAnsi="Selawik" w:cstheme="minorHAnsi"/>
                <w:bCs/>
                <w:color w:val="000000" w:themeColor="text1"/>
                <w:sz w:val="16"/>
                <w:szCs w:val="16"/>
              </w:rPr>
              <w:t>61.44%</w:t>
            </w:r>
          </w:p>
        </w:tc>
      </w:tr>
      <w:tr w:rsidR="001A3E0A" w:rsidRPr="00674D55" w14:paraId="18FDA328" w14:textId="77777777" w:rsidTr="00586896">
        <w:trPr>
          <w:trHeight w:val="2094"/>
          <w:jc w:val="center"/>
        </w:trPr>
        <w:tc>
          <w:tcPr>
            <w:cnfStyle w:val="001000000000" w:firstRow="0" w:lastRow="0" w:firstColumn="1" w:lastColumn="0" w:oddVBand="0" w:evenVBand="0" w:oddHBand="0" w:evenHBand="0" w:firstRowFirstColumn="0" w:firstRowLastColumn="0" w:lastRowFirstColumn="0" w:lastRowLastColumn="0"/>
            <w:tcW w:w="1062" w:type="pct"/>
            <w:vAlign w:val="center"/>
          </w:tcPr>
          <w:p w14:paraId="17A47103" w14:textId="77777777" w:rsidR="00483DF4" w:rsidRPr="00062486" w:rsidRDefault="00483DF4" w:rsidP="00483DF4">
            <w:pPr>
              <w:pStyle w:val="Prrafodelista"/>
              <w:numPr>
                <w:ilvl w:val="0"/>
                <w:numId w:val="6"/>
              </w:numPr>
              <w:spacing w:after="0" w:line="240" w:lineRule="auto"/>
              <w:rPr>
                <w:rFonts w:ascii="Selawik" w:hAnsi="Selawik"/>
                <w:color w:val="000000" w:themeColor="text1"/>
                <w:sz w:val="16"/>
                <w:szCs w:val="16"/>
              </w:rPr>
            </w:pPr>
            <w:r w:rsidRPr="00062486">
              <w:rPr>
                <w:rFonts w:ascii="Selawik" w:hAnsi="Selawik" w:cs="Arial"/>
                <w:color w:val="000000" w:themeColor="text1"/>
                <w:sz w:val="16"/>
                <w:szCs w:val="16"/>
              </w:rPr>
              <w:t>Concentración del gasto</w:t>
            </w:r>
          </w:p>
        </w:tc>
        <w:tc>
          <w:tcPr>
            <w:tcW w:w="2326" w:type="pct"/>
            <w:vAlign w:val="center"/>
          </w:tcPr>
          <w:p w14:paraId="1A903D89" w14:textId="6F06F314" w:rsidR="00483DF4" w:rsidRPr="00062486" w:rsidRDefault="00674D55" w:rsidP="00483DF4">
            <w:pPr>
              <w:spacing w:line="276" w:lineRule="auto"/>
              <w:jc w:val="both"/>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(Gasto ejecutado en el Subtítulo 22 y Subtítulo 29 por la fiscalía regional en el segundo semestre del año t + gasto ejecutado en el Subtítulo 22 y Subtítulo 29 por la fiscalía regional en el cuarto trimestre del año t + gasto ejecutado en el Subtítulo 22 y Subtítulo 29 por la fiscalía regional en el mes de diciembre del año t) / (Total del gasto ejecutado en el Subtítulo 22 y Subtítulo 29 por la fiscalía regional en el año t) * 100</w:t>
            </w:r>
          </w:p>
        </w:tc>
        <w:tc>
          <w:tcPr>
            <w:tcW w:w="525" w:type="pct"/>
            <w:vAlign w:val="center"/>
          </w:tcPr>
          <w:p w14:paraId="2A956226" w14:textId="4016D077" w:rsidR="00483DF4" w:rsidRPr="00062486" w:rsidRDefault="00661658" w:rsidP="00483DF4">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sz w:val="16"/>
                <w:szCs w:val="16"/>
              </w:rPr>
              <w:t xml:space="preserve">115% </w:t>
            </w:r>
            <w:r w:rsidRPr="00062486">
              <w:rPr>
                <w:rFonts w:ascii="Arial" w:hAnsi="Arial" w:cs="Arial"/>
                <w:sz w:val="16"/>
                <w:szCs w:val="16"/>
              </w:rPr>
              <w:t>≥</w:t>
            </w:r>
            <w:r w:rsidRPr="00062486">
              <w:rPr>
                <w:rFonts w:ascii="Selawik" w:hAnsi="Selawik"/>
                <w:sz w:val="16"/>
                <w:szCs w:val="16"/>
              </w:rPr>
              <w:t xml:space="preserve"> ICG </w:t>
            </w:r>
            <w:r w:rsidRPr="00062486">
              <w:rPr>
                <w:rFonts w:ascii="Arial" w:hAnsi="Arial" w:cs="Arial"/>
                <w:sz w:val="16"/>
                <w:szCs w:val="16"/>
              </w:rPr>
              <w:t>≤</w:t>
            </w:r>
            <w:r w:rsidRPr="00062486">
              <w:rPr>
                <w:rFonts w:ascii="Selawik" w:hAnsi="Selawik"/>
                <w:sz w:val="16"/>
                <w:szCs w:val="16"/>
              </w:rPr>
              <w:t xml:space="preserve"> 137%</w:t>
            </w:r>
          </w:p>
        </w:tc>
        <w:tc>
          <w:tcPr>
            <w:tcW w:w="504" w:type="pct"/>
            <w:vAlign w:val="center"/>
          </w:tcPr>
          <w:p w14:paraId="3FE31A2E" w14:textId="554051DB" w:rsidR="00483DF4" w:rsidRPr="00062486" w:rsidRDefault="0032131F" w:rsidP="00483DF4">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Pr>
                <w:rFonts w:ascii="Selawik" w:hAnsi="Selawik" w:cs="Arial"/>
                <w:color w:val="000000" w:themeColor="text1"/>
                <w:sz w:val="16"/>
                <w:szCs w:val="16"/>
              </w:rPr>
              <w:t>-</w:t>
            </w:r>
          </w:p>
        </w:tc>
        <w:tc>
          <w:tcPr>
            <w:tcW w:w="583" w:type="pct"/>
            <w:vAlign w:val="center"/>
          </w:tcPr>
          <w:p w14:paraId="06703067" w14:textId="7EFE579D" w:rsidR="00483DF4" w:rsidRPr="00062486" w:rsidRDefault="00062486" w:rsidP="00483DF4">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w:t>
            </w:r>
          </w:p>
        </w:tc>
      </w:tr>
      <w:tr w:rsidR="001A3E0A" w:rsidRPr="00674D55" w14:paraId="76969C4D" w14:textId="77777777" w:rsidTr="00586896">
        <w:trPr>
          <w:cnfStyle w:val="000000100000" w:firstRow="0" w:lastRow="0" w:firstColumn="0" w:lastColumn="0" w:oddVBand="0" w:evenVBand="0" w:oddHBand="1" w:evenHBand="0" w:firstRowFirstColumn="0" w:firstRowLastColumn="0" w:lastRowFirstColumn="0" w:lastRowLastColumn="0"/>
          <w:trHeight w:val="1826"/>
          <w:jc w:val="center"/>
        </w:trPr>
        <w:tc>
          <w:tcPr>
            <w:cnfStyle w:val="001000000000" w:firstRow="0" w:lastRow="0" w:firstColumn="1" w:lastColumn="0" w:oddVBand="0" w:evenVBand="0" w:oddHBand="0" w:evenHBand="0" w:firstRowFirstColumn="0" w:firstRowLastColumn="0" w:lastRowFirstColumn="0" w:lastRowLastColumn="0"/>
            <w:tcW w:w="1062" w:type="pct"/>
            <w:tcBorders>
              <w:top w:val="none" w:sz="0" w:space="0" w:color="auto"/>
              <w:left w:val="none" w:sz="0" w:space="0" w:color="auto"/>
              <w:bottom w:val="none" w:sz="0" w:space="0" w:color="auto"/>
            </w:tcBorders>
            <w:vAlign w:val="center"/>
          </w:tcPr>
          <w:p w14:paraId="66DE595F" w14:textId="77777777" w:rsidR="00674D55" w:rsidRPr="00062486" w:rsidRDefault="00674D55" w:rsidP="00674D55">
            <w:pPr>
              <w:pStyle w:val="Prrafodelista"/>
              <w:numPr>
                <w:ilvl w:val="0"/>
                <w:numId w:val="6"/>
              </w:numPr>
              <w:spacing w:after="0" w:line="240" w:lineRule="auto"/>
              <w:rPr>
                <w:rFonts w:ascii="Selawik" w:hAnsi="Selawik" w:cstheme="minorHAnsi"/>
                <w:b w:val="0"/>
                <w:bCs w:val="0"/>
                <w:color w:val="000000" w:themeColor="text1"/>
                <w:sz w:val="16"/>
                <w:szCs w:val="16"/>
              </w:rPr>
            </w:pPr>
            <w:r w:rsidRPr="00062486">
              <w:rPr>
                <w:rFonts w:ascii="Selawik" w:hAnsi="Selawik" w:cstheme="minorHAnsi"/>
                <w:color w:val="000000" w:themeColor="text1"/>
                <w:sz w:val="16"/>
                <w:szCs w:val="16"/>
              </w:rPr>
              <w:t>Recuperación de Licencias Médicas</w:t>
            </w:r>
          </w:p>
        </w:tc>
        <w:tc>
          <w:tcPr>
            <w:tcW w:w="2326" w:type="pct"/>
            <w:tcBorders>
              <w:top w:val="none" w:sz="0" w:space="0" w:color="auto"/>
              <w:bottom w:val="none" w:sz="0" w:space="0" w:color="auto"/>
            </w:tcBorders>
            <w:vAlign w:val="center"/>
          </w:tcPr>
          <w:p w14:paraId="48810E0F" w14:textId="77777777" w:rsidR="00674D55" w:rsidRPr="00062486" w:rsidRDefault="00674D55" w:rsidP="00674D5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 xml:space="preserve">Promedio de los porcentajes de las dos fechas de cálculo, en las cuales dicho porcentaje se calculará como: </w:t>
            </w:r>
          </w:p>
          <w:p w14:paraId="525AA9DC" w14:textId="1A053FDA" w:rsidR="00674D55" w:rsidRPr="00062486" w:rsidRDefault="00674D55" w:rsidP="00674D5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Selawik" w:hAnsi="Selawik" w:cstheme="minorHAnsi"/>
                <w:color w:val="000000" w:themeColor="text1"/>
                <w:sz w:val="16"/>
                <w:szCs w:val="16"/>
              </w:rPr>
            </w:pPr>
            <w:r w:rsidRPr="00062486">
              <w:rPr>
                <w:rFonts w:ascii="Selawik" w:hAnsi="Selawik" w:cs="Arial"/>
                <w:color w:val="000000" w:themeColor="text1"/>
                <w:sz w:val="16"/>
                <w:szCs w:val="16"/>
              </w:rPr>
              <w:t>(Monto recuperado a la fecha de corte, de licencias médicas con más de 6 meses y menos de 24 meses de antigüedad desde la fecha de inicio de la licencia médica) / (Monto a recuperar a la fecha de corte, de licencias médicas con más de 6 meses y menos de 24 meses de antigüedad desde la fecha de inicio de la licencia médica) * 100</w:t>
            </w:r>
          </w:p>
        </w:tc>
        <w:tc>
          <w:tcPr>
            <w:tcW w:w="525" w:type="pct"/>
            <w:tcBorders>
              <w:top w:val="none" w:sz="0" w:space="0" w:color="auto"/>
              <w:bottom w:val="none" w:sz="0" w:space="0" w:color="auto"/>
            </w:tcBorders>
            <w:vAlign w:val="center"/>
          </w:tcPr>
          <w:p w14:paraId="7B333376" w14:textId="77777777" w:rsidR="00674D55" w:rsidRPr="00062486" w:rsidRDefault="00674D55"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&gt;=80%</w:t>
            </w:r>
          </w:p>
        </w:tc>
        <w:tc>
          <w:tcPr>
            <w:tcW w:w="504" w:type="pct"/>
            <w:tcBorders>
              <w:top w:val="none" w:sz="0" w:space="0" w:color="auto"/>
              <w:bottom w:val="none" w:sz="0" w:space="0" w:color="auto"/>
            </w:tcBorders>
            <w:vAlign w:val="center"/>
          </w:tcPr>
          <w:p w14:paraId="764A2E33" w14:textId="1059BDAE" w:rsidR="00674D55" w:rsidRPr="00062486" w:rsidRDefault="0032131F"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Pr>
                <w:rFonts w:ascii="Selawik" w:hAnsi="Selawik" w:cs="Arial"/>
                <w:color w:val="000000" w:themeColor="text1"/>
                <w:sz w:val="16"/>
                <w:szCs w:val="16"/>
              </w:rPr>
              <w:t>75.54%</w:t>
            </w:r>
          </w:p>
        </w:tc>
        <w:tc>
          <w:tcPr>
            <w:tcW w:w="583" w:type="pct"/>
            <w:tcBorders>
              <w:top w:val="none" w:sz="0" w:space="0" w:color="auto"/>
              <w:bottom w:val="none" w:sz="0" w:space="0" w:color="auto"/>
              <w:right w:val="none" w:sz="0" w:space="0" w:color="auto"/>
            </w:tcBorders>
            <w:vAlign w:val="center"/>
          </w:tcPr>
          <w:p w14:paraId="16DB4FF1" w14:textId="7AED8DC3" w:rsidR="00674D55" w:rsidRPr="00062486" w:rsidRDefault="00396327"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Pr>
                <w:rFonts w:ascii="Selawik" w:hAnsi="Selawik" w:cs="Arial"/>
                <w:color w:val="000000" w:themeColor="text1"/>
                <w:sz w:val="16"/>
                <w:szCs w:val="16"/>
              </w:rPr>
              <w:t>94.42%</w:t>
            </w:r>
          </w:p>
        </w:tc>
      </w:tr>
      <w:tr w:rsidR="001A3E0A" w:rsidRPr="00674D55" w14:paraId="5A82FA29" w14:textId="77777777" w:rsidTr="00586896">
        <w:trPr>
          <w:trHeight w:val="831"/>
          <w:jc w:val="center"/>
        </w:trPr>
        <w:tc>
          <w:tcPr>
            <w:cnfStyle w:val="001000000000" w:firstRow="0" w:lastRow="0" w:firstColumn="1" w:lastColumn="0" w:oddVBand="0" w:evenVBand="0" w:oddHBand="0" w:evenHBand="0" w:firstRowFirstColumn="0" w:firstRowLastColumn="0" w:lastRowFirstColumn="0" w:lastRowLastColumn="0"/>
            <w:tcW w:w="1062" w:type="pct"/>
            <w:vAlign w:val="center"/>
          </w:tcPr>
          <w:p w14:paraId="371CA89C" w14:textId="0AFE08D2" w:rsidR="00674D55" w:rsidRPr="00062486" w:rsidRDefault="00674D55" w:rsidP="00674D55">
            <w:pPr>
              <w:pStyle w:val="Prrafodelista"/>
              <w:numPr>
                <w:ilvl w:val="0"/>
                <w:numId w:val="6"/>
              </w:numPr>
              <w:spacing w:after="0" w:line="240" w:lineRule="auto"/>
              <w:rPr>
                <w:rFonts w:ascii="Selawik" w:hAnsi="Selawik" w:cstheme="minorHAnsi"/>
                <w:color w:val="000000" w:themeColor="text1"/>
                <w:sz w:val="16"/>
                <w:szCs w:val="16"/>
              </w:rPr>
            </w:pPr>
            <w:r w:rsidRPr="00062486">
              <w:rPr>
                <w:rFonts w:ascii="Selawik" w:hAnsi="Selawik" w:cstheme="minorHAnsi"/>
                <w:color w:val="000000" w:themeColor="text1"/>
                <w:sz w:val="16"/>
                <w:szCs w:val="16"/>
              </w:rPr>
              <w:t xml:space="preserve">Especies </w:t>
            </w:r>
            <w:proofErr w:type="spellStart"/>
            <w:r w:rsidRPr="004C200D">
              <w:rPr>
                <w:rFonts w:ascii="Selawik" w:hAnsi="Selawik" w:cstheme="minorHAnsi"/>
                <w:color w:val="000000" w:themeColor="text1"/>
                <w:sz w:val="16"/>
                <w:szCs w:val="16"/>
              </w:rPr>
              <w:t>finiquitables</w:t>
            </w:r>
            <w:proofErr w:type="spellEnd"/>
            <w:r w:rsidRPr="00062486">
              <w:rPr>
                <w:rFonts w:ascii="Selawik" w:hAnsi="Selawik" w:cstheme="minorHAnsi"/>
                <w:color w:val="000000" w:themeColor="text1"/>
                <w:sz w:val="16"/>
                <w:szCs w:val="16"/>
              </w:rPr>
              <w:t xml:space="preserve"> móvil</w:t>
            </w:r>
          </w:p>
        </w:tc>
        <w:tc>
          <w:tcPr>
            <w:tcW w:w="2326" w:type="pct"/>
            <w:vAlign w:val="center"/>
          </w:tcPr>
          <w:p w14:paraId="617D2C7B" w14:textId="30529C97" w:rsidR="00674D55" w:rsidRPr="00062486" w:rsidRDefault="00674D55" w:rsidP="00674D5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de especies finiquitadas en el período de evaluación) / (Total de especies susceptibles de finiquitar) * 100</w:t>
            </w:r>
          </w:p>
        </w:tc>
        <w:tc>
          <w:tcPr>
            <w:tcW w:w="525" w:type="pct"/>
            <w:vAlign w:val="center"/>
          </w:tcPr>
          <w:p w14:paraId="1A205349" w14:textId="0EFA79F9" w:rsidR="00674D55" w:rsidRPr="00062486" w:rsidRDefault="00674D55"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&gt;=40%</w:t>
            </w:r>
          </w:p>
        </w:tc>
        <w:tc>
          <w:tcPr>
            <w:tcW w:w="504" w:type="pct"/>
            <w:vAlign w:val="center"/>
          </w:tcPr>
          <w:p w14:paraId="6527E0DF" w14:textId="4077C143" w:rsidR="00674D55" w:rsidRPr="00062486" w:rsidRDefault="0087684B"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Pr>
                <w:rFonts w:ascii="Selawik" w:hAnsi="Selawik" w:cs="Arial"/>
                <w:color w:val="000000" w:themeColor="text1"/>
                <w:sz w:val="16"/>
                <w:szCs w:val="16"/>
              </w:rPr>
              <w:t>29.99</w:t>
            </w:r>
            <w:r w:rsidR="00966820">
              <w:rPr>
                <w:rFonts w:ascii="Selawik" w:hAnsi="Selawik" w:cs="Arial"/>
                <w:color w:val="000000" w:themeColor="text1"/>
                <w:sz w:val="16"/>
                <w:szCs w:val="16"/>
              </w:rPr>
              <w:t>%</w:t>
            </w:r>
          </w:p>
        </w:tc>
        <w:tc>
          <w:tcPr>
            <w:tcW w:w="583" w:type="pct"/>
            <w:vAlign w:val="center"/>
          </w:tcPr>
          <w:p w14:paraId="45EAC48C" w14:textId="310B22E4" w:rsidR="00674D55" w:rsidRPr="00062486" w:rsidRDefault="0087684B"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Pr>
                <w:rFonts w:ascii="Selawik" w:hAnsi="Selawik" w:cs="Arial"/>
                <w:color w:val="000000" w:themeColor="text1"/>
                <w:sz w:val="16"/>
                <w:szCs w:val="16"/>
              </w:rPr>
              <w:t>7</w:t>
            </w:r>
            <w:r w:rsidR="00E97951">
              <w:rPr>
                <w:rFonts w:ascii="Selawik" w:hAnsi="Selawik" w:cs="Arial"/>
                <w:color w:val="000000" w:themeColor="text1"/>
                <w:sz w:val="16"/>
                <w:szCs w:val="16"/>
              </w:rPr>
              <w:t>4</w:t>
            </w:r>
            <w:r w:rsidR="00966820">
              <w:rPr>
                <w:rFonts w:ascii="Selawik" w:hAnsi="Selawik" w:cs="Arial"/>
                <w:color w:val="000000" w:themeColor="text1"/>
                <w:sz w:val="16"/>
                <w:szCs w:val="16"/>
              </w:rPr>
              <w:t>.</w:t>
            </w:r>
            <w:r>
              <w:rPr>
                <w:rFonts w:ascii="Selawik" w:hAnsi="Selawik" w:cs="Arial"/>
                <w:color w:val="000000" w:themeColor="text1"/>
                <w:sz w:val="16"/>
                <w:szCs w:val="16"/>
              </w:rPr>
              <w:t>99</w:t>
            </w:r>
            <w:r w:rsidR="00966820">
              <w:rPr>
                <w:rFonts w:ascii="Selawik" w:hAnsi="Selawik" w:cs="Arial"/>
                <w:color w:val="000000" w:themeColor="text1"/>
                <w:sz w:val="16"/>
                <w:szCs w:val="16"/>
              </w:rPr>
              <w:t>%</w:t>
            </w:r>
          </w:p>
        </w:tc>
      </w:tr>
      <w:tr w:rsidR="001A3E0A" w:rsidRPr="00674D55" w14:paraId="347138C6" w14:textId="77777777" w:rsidTr="00586896">
        <w:trPr>
          <w:cnfStyle w:val="000000100000" w:firstRow="0" w:lastRow="0" w:firstColumn="0" w:lastColumn="0" w:oddVBand="0" w:evenVBand="0" w:oddHBand="1" w:evenHBand="0" w:firstRowFirstColumn="0" w:firstRowLastColumn="0" w:lastRowFirstColumn="0" w:lastRowLastColumn="0"/>
          <w:trHeight w:val="985"/>
          <w:jc w:val="center"/>
        </w:trPr>
        <w:tc>
          <w:tcPr>
            <w:cnfStyle w:val="001000000000" w:firstRow="0" w:lastRow="0" w:firstColumn="1" w:lastColumn="0" w:oddVBand="0" w:evenVBand="0" w:oddHBand="0" w:evenHBand="0" w:firstRowFirstColumn="0" w:firstRowLastColumn="0" w:lastRowFirstColumn="0" w:lastRowLastColumn="0"/>
            <w:tcW w:w="1062" w:type="pct"/>
            <w:tcBorders>
              <w:top w:val="none" w:sz="0" w:space="0" w:color="auto"/>
              <w:left w:val="none" w:sz="0" w:space="0" w:color="auto"/>
              <w:bottom w:val="none" w:sz="0" w:space="0" w:color="auto"/>
            </w:tcBorders>
            <w:vAlign w:val="center"/>
          </w:tcPr>
          <w:p w14:paraId="34C2D9DD" w14:textId="4EEC2165" w:rsidR="00674D55" w:rsidRPr="00062486" w:rsidRDefault="00674D55" w:rsidP="00674D55">
            <w:pPr>
              <w:pStyle w:val="Prrafodelista"/>
              <w:numPr>
                <w:ilvl w:val="0"/>
                <w:numId w:val="6"/>
              </w:numPr>
              <w:spacing w:after="0" w:line="240" w:lineRule="auto"/>
              <w:rPr>
                <w:rFonts w:ascii="Selawik" w:hAnsi="Selawik" w:cstheme="minorHAnsi"/>
                <w:color w:val="000000" w:themeColor="text1"/>
                <w:sz w:val="16"/>
                <w:szCs w:val="16"/>
              </w:rPr>
            </w:pPr>
            <w:r w:rsidRPr="00062486">
              <w:rPr>
                <w:rFonts w:ascii="Selawik" w:hAnsi="Selawik" w:cstheme="minorHAnsi"/>
                <w:color w:val="000000" w:themeColor="text1"/>
                <w:sz w:val="16"/>
                <w:szCs w:val="16"/>
              </w:rPr>
              <w:t>Dineros incautados</w:t>
            </w:r>
          </w:p>
        </w:tc>
        <w:tc>
          <w:tcPr>
            <w:tcW w:w="2326" w:type="pct"/>
            <w:tcBorders>
              <w:top w:val="none" w:sz="0" w:space="0" w:color="auto"/>
              <w:bottom w:val="none" w:sz="0" w:space="0" w:color="auto"/>
            </w:tcBorders>
            <w:vAlign w:val="center"/>
          </w:tcPr>
          <w:p w14:paraId="322CC9E7" w14:textId="6F122412" w:rsidR="00674D55" w:rsidRPr="00062486" w:rsidRDefault="00674D55" w:rsidP="00674D5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(Dineros incautados finiquitados por la fiscalía regional finiquitados en el período de evaluación) / (Total de dineros incautados por la fiscalía regional susceptibles de finiquitar a la fecha de corte) * 100</w:t>
            </w:r>
          </w:p>
        </w:tc>
        <w:tc>
          <w:tcPr>
            <w:tcW w:w="525" w:type="pct"/>
            <w:tcBorders>
              <w:top w:val="none" w:sz="0" w:space="0" w:color="auto"/>
              <w:bottom w:val="none" w:sz="0" w:space="0" w:color="auto"/>
            </w:tcBorders>
            <w:vAlign w:val="center"/>
          </w:tcPr>
          <w:p w14:paraId="7B4A7BDB" w14:textId="35A2942E" w:rsidR="00674D55" w:rsidRPr="001A3E0A" w:rsidRDefault="00062486"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bCs/>
                <w:sz w:val="16"/>
                <w:szCs w:val="16"/>
              </w:rPr>
            </w:pPr>
            <w:r w:rsidRPr="001A3E0A">
              <w:rPr>
                <w:rFonts w:ascii="Selawik" w:hAnsi="Selawik" w:cs="Arial"/>
                <w:bCs/>
                <w:color w:val="000000"/>
                <w:sz w:val="16"/>
                <w:szCs w:val="16"/>
              </w:rPr>
              <w:t>Monitoreo</w:t>
            </w:r>
          </w:p>
        </w:tc>
        <w:tc>
          <w:tcPr>
            <w:tcW w:w="504" w:type="pct"/>
            <w:tcBorders>
              <w:top w:val="none" w:sz="0" w:space="0" w:color="auto"/>
              <w:bottom w:val="none" w:sz="0" w:space="0" w:color="auto"/>
            </w:tcBorders>
            <w:vAlign w:val="center"/>
          </w:tcPr>
          <w:p w14:paraId="737E71B3" w14:textId="3C20F4FD" w:rsidR="00674D55" w:rsidRPr="00062486" w:rsidRDefault="0087684B"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60.09</w:t>
            </w:r>
            <w:r w:rsidR="000E368D" w:rsidRPr="00062486">
              <w:rPr>
                <w:rFonts w:ascii="Selawik" w:hAnsi="Selawik" w:cs="Arial"/>
                <w:sz w:val="16"/>
                <w:szCs w:val="16"/>
              </w:rPr>
              <w:t>%</w:t>
            </w:r>
          </w:p>
        </w:tc>
        <w:tc>
          <w:tcPr>
            <w:tcW w:w="583" w:type="pct"/>
            <w:tcBorders>
              <w:top w:val="none" w:sz="0" w:space="0" w:color="auto"/>
              <w:bottom w:val="none" w:sz="0" w:space="0" w:color="auto"/>
              <w:right w:val="none" w:sz="0" w:space="0" w:color="auto"/>
            </w:tcBorders>
            <w:vAlign w:val="center"/>
          </w:tcPr>
          <w:p w14:paraId="54DCC4A8" w14:textId="204B2648" w:rsidR="00674D55" w:rsidRPr="00062486" w:rsidRDefault="00062486"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062486">
              <w:rPr>
                <w:rFonts w:ascii="Selawik" w:hAnsi="Selawik" w:cs="Arial"/>
                <w:sz w:val="16"/>
                <w:szCs w:val="16"/>
              </w:rPr>
              <w:t>N/A</w:t>
            </w:r>
          </w:p>
        </w:tc>
      </w:tr>
      <w:tr w:rsidR="001A3E0A" w:rsidRPr="00674D55" w14:paraId="6D82E49E" w14:textId="77777777" w:rsidTr="00586896">
        <w:trPr>
          <w:trHeight w:val="1137"/>
          <w:jc w:val="center"/>
        </w:trPr>
        <w:tc>
          <w:tcPr>
            <w:cnfStyle w:val="001000000000" w:firstRow="0" w:lastRow="0" w:firstColumn="1" w:lastColumn="0" w:oddVBand="0" w:evenVBand="0" w:oddHBand="0" w:evenHBand="0" w:firstRowFirstColumn="0" w:firstRowLastColumn="0" w:lastRowFirstColumn="0" w:lastRowLastColumn="0"/>
            <w:tcW w:w="1062" w:type="pct"/>
            <w:vAlign w:val="center"/>
          </w:tcPr>
          <w:p w14:paraId="3573F398" w14:textId="361287BE" w:rsidR="00674D55" w:rsidRPr="00062486" w:rsidRDefault="00674D55" w:rsidP="00674D55">
            <w:pPr>
              <w:pStyle w:val="Prrafodelista"/>
              <w:numPr>
                <w:ilvl w:val="0"/>
                <w:numId w:val="6"/>
              </w:numPr>
              <w:spacing w:after="0" w:line="240" w:lineRule="auto"/>
              <w:rPr>
                <w:rFonts w:ascii="Selawik" w:hAnsi="Selawik" w:cstheme="minorHAnsi"/>
                <w:color w:val="000000" w:themeColor="text1"/>
                <w:sz w:val="16"/>
                <w:szCs w:val="16"/>
              </w:rPr>
            </w:pPr>
            <w:r w:rsidRPr="00062486">
              <w:rPr>
                <w:rFonts w:ascii="Selawik" w:hAnsi="Selawik" w:cstheme="minorHAnsi"/>
                <w:color w:val="000000" w:themeColor="text1"/>
                <w:sz w:val="16"/>
                <w:szCs w:val="16"/>
              </w:rPr>
              <w:t>Omisión de nacionalidad en víctimas e imputados</w:t>
            </w:r>
          </w:p>
        </w:tc>
        <w:tc>
          <w:tcPr>
            <w:tcW w:w="2326" w:type="pct"/>
            <w:vAlign w:val="center"/>
          </w:tcPr>
          <w:p w14:paraId="3C54EDAE" w14:textId="0A90EF8B" w:rsidR="00674D55" w:rsidRPr="00062486" w:rsidRDefault="00674D55" w:rsidP="00674D5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de sujetos víctimas y/o imputados conocidos con omisión de la nacionalidad en relaciones ingresadas en periodo) / (Número de sujetos víctimas y/o imputados conocidos en relaciones ingresadas en el periodo) * 100</w:t>
            </w:r>
          </w:p>
        </w:tc>
        <w:tc>
          <w:tcPr>
            <w:tcW w:w="525" w:type="pct"/>
            <w:vAlign w:val="center"/>
          </w:tcPr>
          <w:p w14:paraId="212EEF6C" w14:textId="597FD5E2" w:rsidR="00674D55" w:rsidRPr="001A3E0A" w:rsidRDefault="00674D55"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bCs/>
                <w:color w:val="000000"/>
                <w:sz w:val="16"/>
                <w:szCs w:val="16"/>
              </w:rPr>
            </w:pPr>
            <w:r w:rsidRPr="001A3E0A">
              <w:rPr>
                <w:rFonts w:ascii="Selawik" w:hAnsi="Selawik" w:cs="Arial"/>
                <w:bCs/>
                <w:color w:val="000000"/>
                <w:sz w:val="16"/>
                <w:szCs w:val="16"/>
              </w:rPr>
              <w:t>Monitoreo</w:t>
            </w:r>
          </w:p>
        </w:tc>
        <w:tc>
          <w:tcPr>
            <w:tcW w:w="504" w:type="pct"/>
            <w:vAlign w:val="center"/>
          </w:tcPr>
          <w:p w14:paraId="20A3D974" w14:textId="68E4F564" w:rsidR="00674D55" w:rsidRPr="00062486" w:rsidRDefault="00E97951"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Pr>
                <w:rFonts w:ascii="Selawik" w:hAnsi="Selawik" w:cs="Arial"/>
                <w:sz w:val="16"/>
                <w:szCs w:val="16"/>
              </w:rPr>
              <w:t>1</w:t>
            </w:r>
            <w:r w:rsidR="000E368D" w:rsidRPr="00062486">
              <w:rPr>
                <w:rFonts w:ascii="Selawik" w:hAnsi="Selawik" w:cs="Arial"/>
                <w:sz w:val="16"/>
                <w:szCs w:val="16"/>
              </w:rPr>
              <w:t>.</w:t>
            </w:r>
            <w:r w:rsidR="00111A25">
              <w:rPr>
                <w:rFonts w:ascii="Selawik" w:hAnsi="Selawik" w:cs="Arial"/>
                <w:sz w:val="16"/>
                <w:szCs w:val="16"/>
              </w:rPr>
              <w:t>64</w:t>
            </w:r>
            <w:r w:rsidR="000E368D" w:rsidRPr="00062486">
              <w:rPr>
                <w:rFonts w:ascii="Selawik" w:hAnsi="Selawik" w:cs="Arial"/>
                <w:sz w:val="16"/>
                <w:szCs w:val="16"/>
              </w:rPr>
              <w:t>%</w:t>
            </w:r>
          </w:p>
        </w:tc>
        <w:tc>
          <w:tcPr>
            <w:tcW w:w="583" w:type="pct"/>
            <w:vAlign w:val="center"/>
          </w:tcPr>
          <w:p w14:paraId="48D9FB1A" w14:textId="4AC60D1C" w:rsidR="00674D55" w:rsidRPr="00062486" w:rsidRDefault="000E368D" w:rsidP="00674D55">
            <w:pPr>
              <w:jc w:val="center"/>
              <w:cnfStyle w:val="000000000000" w:firstRow="0" w:lastRow="0" w:firstColumn="0" w:lastColumn="0" w:oddVBand="0" w:evenVBand="0" w:oddHBand="0" w:evenHBand="0" w:firstRowFirstColumn="0" w:firstRowLastColumn="0" w:lastRowFirstColumn="0" w:lastRowLastColumn="0"/>
              <w:rPr>
                <w:rFonts w:ascii="Selawik" w:hAnsi="Selawik" w:cs="Arial"/>
                <w:sz w:val="16"/>
                <w:szCs w:val="16"/>
              </w:rPr>
            </w:pPr>
            <w:r w:rsidRPr="00062486">
              <w:rPr>
                <w:rFonts w:ascii="Selawik" w:hAnsi="Selawik" w:cs="Arial"/>
                <w:sz w:val="16"/>
                <w:szCs w:val="16"/>
              </w:rPr>
              <w:t>N/A</w:t>
            </w:r>
          </w:p>
        </w:tc>
      </w:tr>
      <w:tr w:rsidR="001A3E0A" w:rsidRPr="00674D55" w14:paraId="498D79B4" w14:textId="77777777" w:rsidTr="00586896">
        <w:trPr>
          <w:cnfStyle w:val="000000100000" w:firstRow="0" w:lastRow="0" w:firstColumn="0" w:lastColumn="0" w:oddVBand="0" w:evenVBand="0" w:oddHBand="1" w:evenHBand="0" w:firstRowFirstColumn="0" w:firstRowLastColumn="0" w:lastRowFirstColumn="0" w:lastRowLastColumn="0"/>
          <w:trHeight w:val="1267"/>
          <w:jc w:val="center"/>
        </w:trPr>
        <w:tc>
          <w:tcPr>
            <w:cnfStyle w:val="001000000000" w:firstRow="0" w:lastRow="0" w:firstColumn="1" w:lastColumn="0" w:oddVBand="0" w:evenVBand="0" w:oddHBand="0" w:evenHBand="0" w:firstRowFirstColumn="0" w:firstRowLastColumn="0" w:lastRowFirstColumn="0" w:lastRowLastColumn="0"/>
            <w:tcW w:w="1062" w:type="pct"/>
            <w:tcBorders>
              <w:top w:val="none" w:sz="0" w:space="0" w:color="auto"/>
              <w:left w:val="none" w:sz="0" w:space="0" w:color="auto"/>
              <w:bottom w:val="none" w:sz="0" w:space="0" w:color="auto"/>
            </w:tcBorders>
            <w:vAlign w:val="center"/>
          </w:tcPr>
          <w:p w14:paraId="41B177DB" w14:textId="774A715B" w:rsidR="00674D55" w:rsidRPr="00062486" w:rsidRDefault="00674D55" w:rsidP="00674D55">
            <w:pPr>
              <w:pStyle w:val="Prrafodelista"/>
              <w:numPr>
                <w:ilvl w:val="0"/>
                <w:numId w:val="6"/>
              </w:numPr>
              <w:spacing w:after="0" w:line="240" w:lineRule="auto"/>
              <w:rPr>
                <w:rFonts w:ascii="Selawik" w:hAnsi="Selawik" w:cstheme="minorHAnsi"/>
                <w:color w:val="000000" w:themeColor="text1"/>
                <w:sz w:val="16"/>
                <w:szCs w:val="16"/>
              </w:rPr>
            </w:pPr>
            <w:r w:rsidRPr="00062486">
              <w:rPr>
                <w:rFonts w:ascii="Selawik" w:hAnsi="Selawik" w:cstheme="minorHAnsi"/>
                <w:color w:val="000000" w:themeColor="text1"/>
                <w:sz w:val="16"/>
                <w:szCs w:val="16"/>
              </w:rPr>
              <w:t>Inconsistencia en la edad de la víctima directa conocida en los delitos definidos</w:t>
            </w:r>
          </w:p>
        </w:tc>
        <w:tc>
          <w:tcPr>
            <w:tcW w:w="2326" w:type="pct"/>
            <w:tcBorders>
              <w:top w:val="none" w:sz="0" w:space="0" w:color="auto"/>
              <w:bottom w:val="none" w:sz="0" w:space="0" w:color="auto"/>
            </w:tcBorders>
            <w:vAlign w:val="center"/>
          </w:tcPr>
          <w:p w14:paraId="504FDED4" w14:textId="4D39DD4F" w:rsidR="00674D55" w:rsidRPr="00062486" w:rsidRDefault="00674D55" w:rsidP="00674D5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Selawik" w:hAnsi="Selawik" w:cs="Arial"/>
                <w:color w:val="000000" w:themeColor="text1"/>
                <w:sz w:val="16"/>
                <w:szCs w:val="16"/>
              </w:rPr>
            </w:pPr>
            <w:r w:rsidRPr="00062486">
              <w:rPr>
                <w:rFonts w:ascii="Selawik" w:hAnsi="Selawik" w:cs="Arial"/>
                <w:color w:val="000000" w:themeColor="text1"/>
                <w:sz w:val="16"/>
                <w:szCs w:val="16"/>
              </w:rPr>
              <w:t>(Número en víctimas directas conocidas con edad inconsistente (a la fecha de comisión del delito) respecto de la edad señalada en el delito definido) / (Número de víctimas conocidas ingresadas en los delitos definidos respectivos) * 100</w:t>
            </w:r>
          </w:p>
        </w:tc>
        <w:tc>
          <w:tcPr>
            <w:tcW w:w="525" w:type="pct"/>
            <w:tcBorders>
              <w:top w:val="none" w:sz="0" w:space="0" w:color="auto"/>
              <w:bottom w:val="none" w:sz="0" w:space="0" w:color="auto"/>
            </w:tcBorders>
            <w:vAlign w:val="center"/>
          </w:tcPr>
          <w:p w14:paraId="232455CA" w14:textId="196CC2C3" w:rsidR="00674D55" w:rsidRPr="001A3E0A" w:rsidRDefault="00674D55"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bCs/>
                <w:color w:val="000000"/>
                <w:sz w:val="16"/>
                <w:szCs w:val="16"/>
              </w:rPr>
            </w:pPr>
            <w:r w:rsidRPr="001A3E0A">
              <w:rPr>
                <w:rFonts w:ascii="Selawik" w:hAnsi="Selawik" w:cs="Arial"/>
                <w:bCs/>
                <w:color w:val="000000"/>
                <w:sz w:val="16"/>
                <w:szCs w:val="16"/>
              </w:rPr>
              <w:t>Monitoreo</w:t>
            </w:r>
          </w:p>
        </w:tc>
        <w:tc>
          <w:tcPr>
            <w:tcW w:w="504" w:type="pct"/>
            <w:tcBorders>
              <w:top w:val="none" w:sz="0" w:space="0" w:color="auto"/>
              <w:bottom w:val="none" w:sz="0" w:space="0" w:color="auto"/>
            </w:tcBorders>
            <w:vAlign w:val="center"/>
          </w:tcPr>
          <w:p w14:paraId="43FBFA01" w14:textId="46C93B77" w:rsidR="00674D55" w:rsidRPr="00062486" w:rsidRDefault="00111A25"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Pr>
                <w:rFonts w:ascii="Selawik" w:hAnsi="Selawik" w:cs="Arial"/>
                <w:sz w:val="16"/>
                <w:szCs w:val="16"/>
              </w:rPr>
              <w:t>5</w:t>
            </w:r>
            <w:r w:rsidR="00E97951">
              <w:rPr>
                <w:rFonts w:ascii="Selawik" w:hAnsi="Selawik" w:cs="Arial"/>
                <w:sz w:val="16"/>
                <w:szCs w:val="16"/>
              </w:rPr>
              <w:t>.</w:t>
            </w:r>
            <w:r>
              <w:rPr>
                <w:rFonts w:ascii="Selawik" w:hAnsi="Selawik" w:cs="Arial"/>
                <w:sz w:val="16"/>
                <w:szCs w:val="16"/>
              </w:rPr>
              <w:t>41</w:t>
            </w:r>
            <w:r w:rsidR="000E368D" w:rsidRPr="00062486">
              <w:rPr>
                <w:rFonts w:ascii="Selawik" w:hAnsi="Selawik" w:cs="Arial"/>
                <w:sz w:val="16"/>
                <w:szCs w:val="16"/>
              </w:rPr>
              <w:t>%</w:t>
            </w:r>
          </w:p>
        </w:tc>
        <w:tc>
          <w:tcPr>
            <w:tcW w:w="583" w:type="pct"/>
            <w:tcBorders>
              <w:top w:val="none" w:sz="0" w:space="0" w:color="auto"/>
              <w:bottom w:val="none" w:sz="0" w:space="0" w:color="auto"/>
              <w:right w:val="none" w:sz="0" w:space="0" w:color="auto"/>
            </w:tcBorders>
            <w:vAlign w:val="center"/>
          </w:tcPr>
          <w:p w14:paraId="34B2C71D" w14:textId="3B3E6D4B" w:rsidR="00674D55" w:rsidRPr="00062486" w:rsidRDefault="000E368D" w:rsidP="00674D55">
            <w:pPr>
              <w:jc w:val="center"/>
              <w:cnfStyle w:val="000000100000" w:firstRow="0" w:lastRow="0" w:firstColumn="0" w:lastColumn="0" w:oddVBand="0" w:evenVBand="0" w:oddHBand="1" w:evenHBand="0" w:firstRowFirstColumn="0" w:firstRowLastColumn="0" w:lastRowFirstColumn="0" w:lastRowLastColumn="0"/>
              <w:rPr>
                <w:rFonts w:ascii="Selawik" w:hAnsi="Selawik" w:cs="Arial"/>
                <w:sz w:val="16"/>
                <w:szCs w:val="16"/>
              </w:rPr>
            </w:pPr>
            <w:r w:rsidRPr="00062486">
              <w:rPr>
                <w:rFonts w:ascii="Selawik" w:hAnsi="Selawik" w:cs="Arial"/>
                <w:sz w:val="16"/>
                <w:szCs w:val="16"/>
              </w:rPr>
              <w:t>N/A</w:t>
            </w:r>
          </w:p>
        </w:tc>
      </w:tr>
    </w:tbl>
    <w:p w14:paraId="0CB3BE33" w14:textId="77777777" w:rsidR="00DE60EC" w:rsidRPr="00674D55" w:rsidRDefault="00DE60EC" w:rsidP="00DE60EC">
      <w:pPr>
        <w:rPr>
          <w:rFonts w:ascii="Selawik" w:hAnsi="Selawik"/>
        </w:rPr>
      </w:pPr>
    </w:p>
    <w:p w14:paraId="66945C81" w14:textId="77777777" w:rsidR="00DE60EC" w:rsidRPr="00674D55" w:rsidRDefault="00DE60EC">
      <w:pPr>
        <w:rPr>
          <w:rFonts w:ascii="Selawik" w:hAnsi="Selawik"/>
        </w:rPr>
      </w:pPr>
      <w:r w:rsidRPr="00674D55">
        <w:rPr>
          <w:rFonts w:ascii="Selawik" w:hAnsi="Selawik"/>
        </w:rPr>
        <w:br w:type="page"/>
      </w:r>
    </w:p>
    <w:p w14:paraId="64ADA09F" w14:textId="77777777" w:rsidR="004C5016" w:rsidRPr="00674D55" w:rsidRDefault="004C5016" w:rsidP="000C65DE">
      <w:pPr>
        <w:shd w:val="clear" w:color="auto" w:fill="4F81BD" w:themeFill="accent1"/>
        <w:jc w:val="center"/>
        <w:rPr>
          <w:rFonts w:ascii="Selawik" w:hAnsi="Selawik" w:cs="Arial"/>
          <w:b/>
          <w:color w:val="FFFFFF" w:themeColor="background1"/>
          <w:sz w:val="28"/>
          <w:szCs w:val="28"/>
        </w:rPr>
      </w:pPr>
      <w:r w:rsidRPr="00674D55">
        <w:rPr>
          <w:rFonts w:ascii="Selawik" w:hAnsi="Selawik" w:cs="Arial"/>
          <w:b/>
          <w:color w:val="FFFFFF" w:themeColor="background1"/>
          <w:sz w:val="28"/>
          <w:szCs w:val="28"/>
        </w:rPr>
        <w:lastRenderedPageBreak/>
        <w:t>INFORMACIÓN ADICIONAL:</w:t>
      </w:r>
    </w:p>
    <w:p w14:paraId="73F7D2D8" w14:textId="77777777" w:rsidR="004C5016" w:rsidRPr="00674D55" w:rsidRDefault="004C5016" w:rsidP="000C65DE">
      <w:pPr>
        <w:shd w:val="clear" w:color="auto" w:fill="4F81BD" w:themeFill="accent1"/>
        <w:jc w:val="center"/>
        <w:rPr>
          <w:rFonts w:ascii="Selawik" w:hAnsi="Selawik" w:cs="Arial"/>
          <w:color w:val="FFFFFF" w:themeColor="background1"/>
          <w:sz w:val="22"/>
        </w:rPr>
      </w:pPr>
      <w:r w:rsidRPr="00674D55">
        <w:rPr>
          <w:rFonts w:ascii="Selawik" w:hAnsi="Selawik" w:cs="Arial"/>
          <w:b/>
          <w:color w:val="FFFFFF" w:themeColor="background1"/>
          <w:sz w:val="28"/>
          <w:szCs w:val="28"/>
        </w:rPr>
        <w:t>COMPROMISO DE GESTIÓN INSTITUCIONAL</w:t>
      </w:r>
    </w:p>
    <w:p w14:paraId="05609591" w14:textId="77777777" w:rsidR="000C65DE" w:rsidRPr="00674D55" w:rsidRDefault="000C65DE" w:rsidP="004C5016">
      <w:pPr>
        <w:jc w:val="both"/>
        <w:rPr>
          <w:rFonts w:ascii="Selawik" w:hAnsi="Selawik" w:cs="Arial"/>
          <w:sz w:val="20"/>
        </w:rPr>
      </w:pPr>
    </w:p>
    <w:p w14:paraId="6556A122" w14:textId="77777777" w:rsidR="004C5016" w:rsidRPr="00674D55" w:rsidRDefault="004C5016" w:rsidP="004C5016">
      <w:pPr>
        <w:jc w:val="both"/>
        <w:rPr>
          <w:rFonts w:ascii="Selawik" w:hAnsi="Selawik" w:cs="Arial"/>
          <w:sz w:val="20"/>
        </w:rPr>
      </w:pPr>
      <w:r w:rsidRPr="00674D55">
        <w:rPr>
          <w:rFonts w:ascii="Selawik" w:hAnsi="Selawik" w:cs="Arial"/>
          <w:sz w:val="20"/>
        </w:rPr>
        <w:t xml:space="preserve">Adicionalmente y en el marco de lo dispuesto por la Ley </w:t>
      </w:r>
      <w:proofErr w:type="spellStart"/>
      <w:r w:rsidRPr="00674D55">
        <w:rPr>
          <w:rFonts w:ascii="Selawik" w:hAnsi="Selawik" w:cs="Arial"/>
          <w:sz w:val="20"/>
        </w:rPr>
        <w:t>N</w:t>
      </w:r>
      <w:r w:rsidRPr="00674D55">
        <w:rPr>
          <w:rFonts w:ascii="Calibri" w:hAnsi="Calibri" w:cs="Calibri"/>
          <w:sz w:val="20"/>
        </w:rPr>
        <w:t>º</w:t>
      </w:r>
      <w:proofErr w:type="spellEnd"/>
      <w:r w:rsidRPr="00674D55">
        <w:rPr>
          <w:rFonts w:ascii="Selawik" w:hAnsi="Selawik" w:cs="Arial"/>
          <w:sz w:val="20"/>
        </w:rPr>
        <w:t xml:space="preserve"> 20.240 </w:t>
      </w:r>
      <w:r w:rsidR="00291F1B" w:rsidRPr="00674D55">
        <w:rPr>
          <w:rFonts w:ascii="Selawik" w:hAnsi="Selawik" w:cs="Arial"/>
          <w:sz w:val="20"/>
        </w:rPr>
        <w:t xml:space="preserve">que </w:t>
      </w:r>
      <w:r w:rsidRPr="00674D55">
        <w:rPr>
          <w:rFonts w:ascii="Selawik" w:hAnsi="Selawik" w:cs="Arial"/>
          <w:sz w:val="20"/>
        </w:rPr>
        <w:t>“Perfecciona el Sistema de Incentivos al desempeño de los Fiscales y de los Funcionarios del Ministerio Público”, esta institución suscribe anualmente con el Ministerio de Hacienda un Convenio de Desempeño Institucional en el cual se establece un compromiso de gestión institucional que especifica las áreas prioritarias y metas anuales de gestión, cuyo cumplimiento es verificado por una entidad evaluadora de origen externo.</w:t>
      </w:r>
    </w:p>
    <w:p w14:paraId="47707DCD" w14:textId="77777777" w:rsidR="004C5016" w:rsidRPr="00674D55" w:rsidRDefault="004C5016" w:rsidP="004C5016">
      <w:pPr>
        <w:jc w:val="both"/>
        <w:rPr>
          <w:rFonts w:ascii="Selawik" w:hAnsi="Selawik" w:cs="Arial"/>
          <w:sz w:val="20"/>
        </w:rPr>
      </w:pPr>
    </w:p>
    <w:p w14:paraId="41970341" w14:textId="73A2EE91" w:rsidR="004C5016" w:rsidRPr="00674D55" w:rsidRDefault="004C5016" w:rsidP="004C5016">
      <w:pPr>
        <w:jc w:val="both"/>
        <w:rPr>
          <w:rFonts w:ascii="Selawik" w:hAnsi="Selawik" w:cs="Arial"/>
          <w:sz w:val="20"/>
        </w:rPr>
      </w:pPr>
      <w:r w:rsidRPr="00674D55">
        <w:rPr>
          <w:rFonts w:ascii="Selawik" w:hAnsi="Selawik" w:cs="Arial"/>
          <w:sz w:val="20"/>
        </w:rPr>
        <w:t>A continuación</w:t>
      </w:r>
      <w:r w:rsidR="000211BE" w:rsidRPr="00674D55">
        <w:rPr>
          <w:rFonts w:ascii="Selawik" w:hAnsi="Selawik" w:cs="Arial"/>
          <w:sz w:val="20"/>
        </w:rPr>
        <w:t>,</w:t>
      </w:r>
      <w:r w:rsidRPr="00674D55">
        <w:rPr>
          <w:rFonts w:ascii="Selawik" w:hAnsi="Selawik" w:cs="Arial"/>
          <w:sz w:val="20"/>
        </w:rPr>
        <w:t xml:space="preserve"> se detallan las áreas prioritarias, sistemas, objetivos y ponderador</w:t>
      </w:r>
      <w:r w:rsidR="00D26A57" w:rsidRPr="00674D55">
        <w:rPr>
          <w:rFonts w:ascii="Selawik" w:hAnsi="Selawik" w:cs="Arial"/>
          <w:sz w:val="20"/>
        </w:rPr>
        <w:t xml:space="preserve">es establecidos para el año </w:t>
      </w:r>
      <w:r w:rsidR="007F7D78" w:rsidRPr="00674D55">
        <w:rPr>
          <w:rFonts w:ascii="Selawik" w:hAnsi="Selawik" w:cs="Arial"/>
          <w:sz w:val="20"/>
        </w:rPr>
        <w:t>202</w:t>
      </w:r>
      <w:r w:rsidR="000E368D">
        <w:rPr>
          <w:rFonts w:ascii="Selawik" w:hAnsi="Selawik" w:cs="Arial"/>
          <w:sz w:val="20"/>
        </w:rPr>
        <w:t>4</w:t>
      </w:r>
      <w:r w:rsidR="00F650E9" w:rsidRPr="00674D55">
        <w:rPr>
          <w:rFonts w:ascii="Selawik" w:hAnsi="Selawik" w:cs="Arial"/>
          <w:sz w:val="20"/>
        </w:rPr>
        <w:t>, en el Compromiso de Gestión I</w:t>
      </w:r>
      <w:r w:rsidRPr="00674D55">
        <w:rPr>
          <w:rFonts w:ascii="Selawik" w:hAnsi="Selawik" w:cs="Arial"/>
          <w:sz w:val="20"/>
        </w:rPr>
        <w:t>nstitucional del Ministerio Público.</w:t>
      </w:r>
    </w:p>
    <w:p w14:paraId="5964B006" w14:textId="77777777" w:rsidR="004C5016" w:rsidRPr="00674D55" w:rsidRDefault="004C5016" w:rsidP="004C5016">
      <w:pPr>
        <w:rPr>
          <w:rFonts w:ascii="Selawik" w:hAnsi="Selawik" w:cs="Arial"/>
          <w:sz w:val="22"/>
        </w:rPr>
      </w:pPr>
    </w:p>
    <w:p w14:paraId="06C1C71A" w14:textId="438CAAC3" w:rsidR="004C5016" w:rsidRPr="00674D55" w:rsidRDefault="004C5016" w:rsidP="004C5016">
      <w:pPr>
        <w:ind w:left="-360"/>
        <w:jc w:val="center"/>
        <w:rPr>
          <w:rFonts w:ascii="Selawik" w:hAnsi="Selawik" w:cs="Tahoma"/>
          <w:b/>
          <w:sz w:val="16"/>
        </w:rPr>
      </w:pPr>
      <w:r w:rsidRPr="00674D55">
        <w:rPr>
          <w:rFonts w:ascii="Selawik" w:hAnsi="Selawik" w:cs="Tahoma"/>
          <w:b/>
          <w:sz w:val="16"/>
        </w:rPr>
        <w:t xml:space="preserve">COMPROMISO DE GESTIÓN </w:t>
      </w:r>
      <w:r w:rsidR="00D26A57" w:rsidRPr="00674D55">
        <w:rPr>
          <w:rFonts w:ascii="Selawik" w:hAnsi="Selawik" w:cs="Tahoma"/>
          <w:b/>
          <w:sz w:val="16"/>
        </w:rPr>
        <w:t>INSTITUCIONAL</w:t>
      </w:r>
      <w:r w:rsidR="00224696" w:rsidRPr="00674D55">
        <w:rPr>
          <w:rFonts w:ascii="Selawik" w:hAnsi="Selawik" w:cs="Tahoma"/>
          <w:b/>
          <w:sz w:val="16"/>
        </w:rPr>
        <w:t xml:space="preserve"> (CGI) DEL AÑO </w:t>
      </w:r>
      <w:r w:rsidR="007F7D78" w:rsidRPr="00674D55">
        <w:rPr>
          <w:rFonts w:ascii="Selawik" w:hAnsi="Selawik" w:cs="Tahoma"/>
          <w:b/>
          <w:sz w:val="16"/>
        </w:rPr>
        <w:t>202</w:t>
      </w:r>
      <w:r w:rsidR="000E368D">
        <w:rPr>
          <w:rFonts w:ascii="Selawik" w:hAnsi="Selawik" w:cs="Tahoma"/>
          <w:b/>
          <w:sz w:val="16"/>
        </w:rPr>
        <w:t>4</w:t>
      </w:r>
    </w:p>
    <w:p w14:paraId="52FFD9A8" w14:textId="77777777" w:rsidR="004C5016" w:rsidRPr="00674D55" w:rsidRDefault="004C5016" w:rsidP="004C5016">
      <w:pPr>
        <w:ind w:left="-360"/>
        <w:jc w:val="center"/>
        <w:rPr>
          <w:rFonts w:ascii="Selawik" w:hAnsi="Selawik" w:cs="Tahoma"/>
          <w:b/>
          <w:sz w:val="16"/>
        </w:rPr>
      </w:pPr>
      <w:r w:rsidRPr="00674D55">
        <w:rPr>
          <w:rFonts w:ascii="Selawik" w:hAnsi="Selawik" w:cs="Tahoma"/>
          <w:b/>
          <w:sz w:val="16"/>
        </w:rPr>
        <w:t xml:space="preserve">ÁREAS PRIORITARIAS, </w:t>
      </w:r>
      <w:r w:rsidR="00B4575B" w:rsidRPr="00674D55">
        <w:rPr>
          <w:rFonts w:ascii="Selawik" w:hAnsi="Selawik" w:cs="Tahoma"/>
          <w:b/>
          <w:sz w:val="16"/>
        </w:rPr>
        <w:t>METAS</w:t>
      </w:r>
      <w:r w:rsidRPr="00674D55">
        <w:rPr>
          <w:rFonts w:ascii="Selawik" w:hAnsi="Selawik" w:cs="Tahoma"/>
          <w:b/>
          <w:sz w:val="16"/>
        </w:rPr>
        <w:t xml:space="preserve"> Y PONDERADORES</w:t>
      </w:r>
    </w:p>
    <w:p w14:paraId="3C4DD820" w14:textId="77777777" w:rsidR="004C5016" w:rsidRPr="00674D55" w:rsidRDefault="004C5016" w:rsidP="004C5016">
      <w:pPr>
        <w:rPr>
          <w:rFonts w:ascii="Selawik" w:hAnsi="Selawik" w:cs="Arial"/>
        </w:rPr>
      </w:pPr>
    </w:p>
    <w:tbl>
      <w:tblPr>
        <w:tblStyle w:val="Listaclara-nfasis11"/>
        <w:tblpPr w:leftFromText="141" w:rightFromText="141" w:vertAnchor="text" w:tblpXSpec="center" w:tblpY="1"/>
        <w:tblW w:w="10338" w:type="dxa"/>
        <w:tblLayout w:type="fixed"/>
        <w:tblLook w:val="04A0" w:firstRow="1" w:lastRow="0" w:firstColumn="1" w:lastColumn="0" w:noHBand="0" w:noVBand="1"/>
      </w:tblPr>
      <w:tblGrid>
        <w:gridCol w:w="988"/>
        <w:gridCol w:w="1492"/>
        <w:gridCol w:w="3686"/>
        <w:gridCol w:w="1559"/>
        <w:gridCol w:w="1276"/>
        <w:gridCol w:w="1337"/>
      </w:tblGrid>
      <w:tr w:rsidR="007F7D78" w:rsidRPr="00674D55" w14:paraId="509D418B" w14:textId="77777777" w:rsidTr="007717A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8" w:type="dxa"/>
            <w:vMerge w:val="restart"/>
          </w:tcPr>
          <w:p w14:paraId="11691227" w14:textId="77777777" w:rsidR="007F7D78" w:rsidRPr="00674D55" w:rsidRDefault="007F7D78" w:rsidP="000D72F0">
            <w:pPr>
              <w:jc w:val="center"/>
              <w:rPr>
                <w:rFonts w:ascii="Selawik" w:hAnsi="Selawik" w:cs="Calibri Light"/>
                <w:bCs w:val="0"/>
                <w:color w:val="FFFFFF"/>
                <w:sz w:val="16"/>
                <w:szCs w:val="16"/>
                <w:lang w:val="es-CL" w:eastAsia="es-CL"/>
              </w:rPr>
            </w:pPr>
            <w:r w:rsidRPr="00674D55">
              <w:rPr>
                <w:rFonts w:ascii="Selawik" w:hAnsi="Selawik" w:cs="Calibri Light"/>
                <w:color w:val="FFFFFF"/>
                <w:sz w:val="16"/>
                <w:szCs w:val="16"/>
                <w:lang w:val="es-CL" w:eastAsia="es-CL"/>
              </w:rPr>
              <w:t>Prioridad</w:t>
            </w:r>
          </w:p>
        </w:tc>
        <w:tc>
          <w:tcPr>
            <w:tcW w:w="1492" w:type="dxa"/>
            <w:vMerge w:val="restart"/>
          </w:tcPr>
          <w:p w14:paraId="06EA236F" w14:textId="77777777" w:rsidR="007F7D78" w:rsidRPr="00674D55" w:rsidRDefault="007F7D78" w:rsidP="000D72F0">
            <w:pPr>
              <w:jc w:val="center"/>
              <w:cnfStyle w:val="100000000000" w:firstRow="1" w:lastRow="0" w:firstColumn="0" w:lastColumn="0" w:oddVBand="0" w:evenVBand="0" w:oddHBand="0" w:evenHBand="0" w:firstRowFirstColumn="0" w:firstRowLastColumn="0" w:lastRowFirstColumn="0" w:lastRowLastColumn="0"/>
              <w:rPr>
                <w:rFonts w:ascii="Selawik" w:hAnsi="Selawik" w:cs="Calibri Light"/>
                <w:bCs w:val="0"/>
                <w:color w:val="FFFFFF"/>
                <w:sz w:val="16"/>
                <w:szCs w:val="16"/>
                <w:lang w:val="es-CL" w:eastAsia="es-CL"/>
              </w:rPr>
            </w:pPr>
            <w:r w:rsidRPr="00674D55">
              <w:rPr>
                <w:rFonts w:ascii="Selawik" w:hAnsi="Selawik" w:cs="Calibri Light"/>
                <w:color w:val="FFFFFF"/>
                <w:sz w:val="16"/>
                <w:szCs w:val="16"/>
                <w:lang w:val="es-CL" w:eastAsia="es-CL"/>
              </w:rPr>
              <w:t>Área</w:t>
            </w:r>
          </w:p>
          <w:p w14:paraId="5F5E14D1" w14:textId="77777777" w:rsidR="007F7D78" w:rsidRPr="00674D55" w:rsidRDefault="007F7D78" w:rsidP="000D72F0">
            <w:pPr>
              <w:jc w:val="center"/>
              <w:cnfStyle w:val="100000000000" w:firstRow="1" w:lastRow="0" w:firstColumn="0" w:lastColumn="0" w:oddVBand="0" w:evenVBand="0" w:oddHBand="0" w:evenHBand="0" w:firstRowFirstColumn="0" w:firstRowLastColumn="0" w:lastRowFirstColumn="0" w:lastRowLastColumn="0"/>
              <w:rPr>
                <w:rFonts w:ascii="Selawik" w:hAnsi="Selawik" w:cs="Calibri Light"/>
                <w:bCs w:val="0"/>
                <w:color w:val="FFFFFF"/>
                <w:sz w:val="16"/>
                <w:szCs w:val="16"/>
                <w:lang w:val="es-CL" w:eastAsia="es-CL"/>
              </w:rPr>
            </w:pPr>
            <w:r w:rsidRPr="00674D55">
              <w:rPr>
                <w:rFonts w:ascii="Selawik" w:hAnsi="Selawik" w:cs="Calibri Light"/>
                <w:color w:val="FFFFFF"/>
                <w:sz w:val="16"/>
                <w:szCs w:val="16"/>
                <w:lang w:val="es-CL" w:eastAsia="es-CL"/>
              </w:rPr>
              <w:t>Prioritaria</w:t>
            </w:r>
          </w:p>
        </w:tc>
        <w:tc>
          <w:tcPr>
            <w:tcW w:w="5245" w:type="dxa"/>
            <w:gridSpan w:val="2"/>
            <w:tcBorders>
              <w:bottom w:val="single" w:sz="8" w:space="0" w:color="4F81BD" w:themeColor="accent1"/>
            </w:tcBorders>
            <w:hideMark/>
          </w:tcPr>
          <w:p w14:paraId="3751784F" w14:textId="77777777" w:rsidR="007F7D78" w:rsidRPr="00674D55" w:rsidRDefault="007F7D78" w:rsidP="000D72F0">
            <w:pPr>
              <w:jc w:val="center"/>
              <w:cnfStyle w:val="100000000000" w:firstRow="1" w:lastRow="0" w:firstColumn="0" w:lastColumn="0" w:oddVBand="0" w:evenVBand="0" w:oddHBand="0" w:evenHBand="0" w:firstRowFirstColumn="0" w:firstRowLastColumn="0" w:lastRowFirstColumn="0" w:lastRowLastColumn="0"/>
              <w:rPr>
                <w:rFonts w:ascii="Selawik" w:hAnsi="Selawik" w:cs="Calibri Light"/>
                <w:bCs w:val="0"/>
                <w:color w:val="FFFFFF"/>
                <w:sz w:val="16"/>
                <w:szCs w:val="16"/>
                <w:lang w:val="es-CL" w:eastAsia="es-CL"/>
              </w:rPr>
            </w:pPr>
            <w:r w:rsidRPr="00674D55">
              <w:rPr>
                <w:rFonts w:ascii="Selawik" w:hAnsi="Selawik" w:cs="Calibri Light"/>
                <w:color w:val="FFFFFF"/>
                <w:sz w:val="16"/>
                <w:szCs w:val="16"/>
                <w:lang w:val="es-CL" w:eastAsia="es-CL"/>
              </w:rPr>
              <w:t>Metas</w:t>
            </w:r>
          </w:p>
        </w:tc>
        <w:tc>
          <w:tcPr>
            <w:tcW w:w="1276" w:type="dxa"/>
            <w:vMerge w:val="restart"/>
            <w:hideMark/>
          </w:tcPr>
          <w:p w14:paraId="4B813522" w14:textId="77777777" w:rsidR="007F7D78" w:rsidRPr="00674D55" w:rsidRDefault="007F7D78" w:rsidP="000D72F0">
            <w:pPr>
              <w:jc w:val="center"/>
              <w:cnfStyle w:val="100000000000" w:firstRow="1" w:lastRow="0" w:firstColumn="0" w:lastColumn="0" w:oddVBand="0" w:evenVBand="0" w:oddHBand="0" w:evenHBand="0" w:firstRowFirstColumn="0" w:firstRowLastColumn="0" w:lastRowFirstColumn="0" w:lastRowLastColumn="0"/>
              <w:rPr>
                <w:rFonts w:ascii="Selawik" w:hAnsi="Selawik" w:cs="Calibri Light"/>
                <w:bCs w:val="0"/>
                <w:color w:val="FFFFFF"/>
                <w:sz w:val="16"/>
                <w:szCs w:val="16"/>
                <w:lang w:val="es-CL" w:eastAsia="es-CL"/>
              </w:rPr>
            </w:pPr>
            <w:r w:rsidRPr="00674D55">
              <w:rPr>
                <w:rFonts w:ascii="Selawik" w:hAnsi="Selawik" w:cs="Calibri Light"/>
                <w:color w:val="FFFFFF"/>
                <w:sz w:val="16"/>
                <w:szCs w:val="16"/>
                <w:lang w:val="es-CL" w:eastAsia="es-CL"/>
              </w:rPr>
              <w:t>Ponderador indicador</w:t>
            </w:r>
          </w:p>
        </w:tc>
        <w:tc>
          <w:tcPr>
            <w:tcW w:w="1337" w:type="dxa"/>
            <w:vMerge w:val="restart"/>
            <w:hideMark/>
          </w:tcPr>
          <w:p w14:paraId="36E0294D" w14:textId="77777777" w:rsidR="007F7D78" w:rsidRPr="00674D55" w:rsidRDefault="007F7D78" w:rsidP="000D72F0">
            <w:pPr>
              <w:jc w:val="center"/>
              <w:cnfStyle w:val="100000000000" w:firstRow="1" w:lastRow="0" w:firstColumn="0" w:lastColumn="0" w:oddVBand="0" w:evenVBand="0" w:oddHBand="0" w:evenHBand="0" w:firstRowFirstColumn="0" w:firstRowLastColumn="0" w:lastRowFirstColumn="0" w:lastRowLastColumn="0"/>
              <w:rPr>
                <w:rFonts w:ascii="Selawik" w:hAnsi="Selawik" w:cs="Calibri Light"/>
                <w:bCs w:val="0"/>
                <w:color w:val="FFFFFF"/>
                <w:sz w:val="16"/>
                <w:szCs w:val="16"/>
                <w:lang w:val="es-CL" w:eastAsia="es-CL"/>
              </w:rPr>
            </w:pPr>
            <w:r w:rsidRPr="00674D55">
              <w:rPr>
                <w:rFonts w:ascii="Selawik" w:hAnsi="Selawik" w:cs="Calibri Light"/>
                <w:color w:val="FFFFFF"/>
                <w:sz w:val="16"/>
                <w:szCs w:val="16"/>
                <w:lang w:val="es-CL" w:eastAsia="es-CL"/>
              </w:rPr>
              <w:t>Tipo meta</w:t>
            </w:r>
          </w:p>
        </w:tc>
      </w:tr>
      <w:tr w:rsidR="007F7D78" w:rsidRPr="00674D55" w14:paraId="475ED0ED" w14:textId="77777777" w:rsidTr="007717A5">
        <w:trPr>
          <w:cnfStyle w:val="000000100000" w:firstRow="0" w:lastRow="0" w:firstColumn="0" w:lastColumn="0" w:oddVBand="0" w:evenVBand="0" w:oddHBand="1"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988" w:type="dxa"/>
            <w:vMerge/>
          </w:tcPr>
          <w:p w14:paraId="3BE851C8" w14:textId="77777777" w:rsidR="007F7D78" w:rsidRPr="00674D55" w:rsidRDefault="007F7D78" w:rsidP="000D72F0">
            <w:pPr>
              <w:jc w:val="center"/>
              <w:rPr>
                <w:rFonts w:ascii="Selawik" w:hAnsi="Selawik" w:cs="Calibri Light"/>
                <w:b w:val="0"/>
                <w:bCs w:val="0"/>
                <w:color w:val="FFFFFF"/>
                <w:sz w:val="16"/>
                <w:szCs w:val="16"/>
                <w:lang w:val="es-CL" w:eastAsia="es-CL"/>
              </w:rPr>
            </w:pPr>
          </w:p>
        </w:tc>
        <w:tc>
          <w:tcPr>
            <w:tcW w:w="1492" w:type="dxa"/>
            <w:vMerge/>
          </w:tcPr>
          <w:p w14:paraId="5A9628CA" w14:textId="77777777" w:rsidR="007F7D78" w:rsidRPr="00674D55" w:rsidRDefault="007F7D78" w:rsidP="000D72F0">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bCs/>
                <w:color w:val="FFFFFF"/>
                <w:sz w:val="16"/>
                <w:szCs w:val="16"/>
                <w:lang w:val="es-CL" w:eastAsia="es-CL"/>
              </w:rPr>
            </w:pPr>
          </w:p>
        </w:tc>
        <w:tc>
          <w:tcPr>
            <w:tcW w:w="3686" w:type="dxa"/>
            <w:shd w:val="clear" w:color="auto" w:fill="4F81BD" w:themeFill="accent1"/>
          </w:tcPr>
          <w:p w14:paraId="4DA7C3FE" w14:textId="77777777" w:rsidR="007F7D78" w:rsidRPr="00674D55" w:rsidRDefault="007F7D78" w:rsidP="000D72F0">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bCs/>
                <w:color w:val="FFFFFF"/>
                <w:sz w:val="16"/>
                <w:szCs w:val="16"/>
                <w:lang w:val="es-CL" w:eastAsia="es-CL"/>
              </w:rPr>
            </w:pPr>
            <w:r w:rsidRPr="00674D55">
              <w:rPr>
                <w:rFonts w:ascii="Selawik" w:hAnsi="Selawik" w:cs="Calibri Light"/>
                <w:b/>
                <w:bCs/>
                <w:color w:val="FFFFFF"/>
                <w:sz w:val="16"/>
                <w:szCs w:val="16"/>
                <w:lang w:val="es-CL" w:eastAsia="es-CL"/>
              </w:rPr>
              <w:t>Indicador</w:t>
            </w:r>
          </w:p>
        </w:tc>
        <w:tc>
          <w:tcPr>
            <w:tcW w:w="1559" w:type="dxa"/>
            <w:shd w:val="clear" w:color="auto" w:fill="4F81BD" w:themeFill="accent1"/>
          </w:tcPr>
          <w:p w14:paraId="3816D5B8" w14:textId="77777777" w:rsidR="007F7D78" w:rsidRPr="00674D55" w:rsidRDefault="007F7D78" w:rsidP="000D72F0">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bCs/>
                <w:color w:val="FFFFFF"/>
                <w:sz w:val="16"/>
                <w:szCs w:val="16"/>
                <w:lang w:val="es-CL" w:eastAsia="es-CL"/>
              </w:rPr>
            </w:pPr>
            <w:r w:rsidRPr="00674D55">
              <w:rPr>
                <w:rFonts w:ascii="Selawik" w:hAnsi="Selawik" w:cs="Calibri Light"/>
                <w:b/>
                <w:bCs/>
                <w:color w:val="FFFFFF"/>
                <w:sz w:val="16"/>
                <w:szCs w:val="16"/>
                <w:lang w:val="es-CL" w:eastAsia="es-CL"/>
              </w:rPr>
              <w:t>Valor comprometido</w:t>
            </w:r>
          </w:p>
        </w:tc>
        <w:tc>
          <w:tcPr>
            <w:tcW w:w="1276" w:type="dxa"/>
            <w:vMerge/>
          </w:tcPr>
          <w:p w14:paraId="5F11C3A4" w14:textId="77777777" w:rsidR="007F7D78" w:rsidRPr="00674D55" w:rsidRDefault="007F7D78" w:rsidP="000D72F0">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bCs/>
                <w:color w:val="FFFFFF"/>
                <w:sz w:val="16"/>
                <w:szCs w:val="16"/>
                <w:lang w:val="es-CL" w:eastAsia="es-CL"/>
              </w:rPr>
            </w:pPr>
          </w:p>
        </w:tc>
        <w:tc>
          <w:tcPr>
            <w:tcW w:w="1337" w:type="dxa"/>
            <w:vMerge/>
          </w:tcPr>
          <w:p w14:paraId="478B5593" w14:textId="77777777" w:rsidR="007F7D78" w:rsidRPr="00674D55" w:rsidRDefault="007F7D78" w:rsidP="000D72F0">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bCs/>
                <w:color w:val="FFFFFF"/>
                <w:sz w:val="16"/>
                <w:szCs w:val="16"/>
                <w:lang w:val="es-CL" w:eastAsia="es-CL"/>
              </w:rPr>
            </w:pPr>
          </w:p>
        </w:tc>
      </w:tr>
      <w:tr w:rsidR="007717A5" w:rsidRPr="00674D55" w14:paraId="75352DCA" w14:textId="77777777" w:rsidTr="007717A5">
        <w:trPr>
          <w:trHeight w:val="510"/>
        </w:trPr>
        <w:tc>
          <w:tcPr>
            <w:cnfStyle w:val="001000000000" w:firstRow="0" w:lastRow="0" w:firstColumn="1" w:lastColumn="0" w:oddVBand="0" w:evenVBand="0" w:oddHBand="0" w:evenHBand="0" w:firstRowFirstColumn="0" w:firstRowLastColumn="0" w:lastRowFirstColumn="0" w:lastRowLastColumn="0"/>
            <w:tcW w:w="988" w:type="dxa"/>
            <w:vMerge w:val="restart"/>
          </w:tcPr>
          <w:p w14:paraId="1B81FCDA" w14:textId="4D4911EE" w:rsidR="007717A5" w:rsidRPr="00674D55" w:rsidRDefault="007717A5" w:rsidP="007717A5">
            <w:pPr>
              <w:jc w:val="center"/>
              <w:rPr>
                <w:rFonts w:ascii="Selawik" w:hAnsi="Selawik" w:cs="Calibri Light"/>
                <w:b w:val="0"/>
                <w:color w:val="000000"/>
                <w:sz w:val="16"/>
                <w:szCs w:val="16"/>
              </w:rPr>
            </w:pPr>
            <w:r>
              <w:rPr>
                <w:rFonts w:ascii="Selawik" w:hAnsi="Selawik" w:cs="Calibri Light"/>
                <w:color w:val="000000"/>
                <w:sz w:val="16"/>
                <w:szCs w:val="16"/>
              </w:rPr>
              <w:t>ALTA</w:t>
            </w:r>
          </w:p>
          <w:p w14:paraId="64CDE81F" w14:textId="7CEF3E49" w:rsidR="007717A5" w:rsidRPr="00674D55" w:rsidRDefault="007717A5" w:rsidP="007717A5">
            <w:pPr>
              <w:jc w:val="center"/>
              <w:rPr>
                <w:rFonts w:ascii="Selawik" w:hAnsi="Selawik" w:cs="Calibri Light"/>
                <w:b w:val="0"/>
                <w:color w:val="000000"/>
                <w:sz w:val="16"/>
                <w:szCs w:val="16"/>
              </w:rPr>
            </w:pPr>
            <w:r w:rsidRPr="00674D55">
              <w:rPr>
                <w:rFonts w:ascii="Selawik" w:hAnsi="Selawik" w:cs="Calibri Light"/>
                <w:color w:val="000000"/>
                <w:sz w:val="16"/>
                <w:szCs w:val="16"/>
              </w:rPr>
              <w:t>3</w:t>
            </w:r>
            <w:r>
              <w:rPr>
                <w:rFonts w:ascii="Selawik" w:hAnsi="Selawik" w:cs="Calibri Light"/>
                <w:color w:val="000000"/>
                <w:sz w:val="16"/>
                <w:szCs w:val="16"/>
              </w:rPr>
              <w:t>7,5</w:t>
            </w:r>
          </w:p>
        </w:tc>
        <w:tc>
          <w:tcPr>
            <w:tcW w:w="1492" w:type="dxa"/>
            <w:vMerge w:val="restart"/>
          </w:tcPr>
          <w:p w14:paraId="4A4EDE8E" w14:textId="77777777" w:rsidR="007717A5" w:rsidRPr="00674D55" w:rsidRDefault="007717A5" w:rsidP="007717A5">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Eficacia en la persecución penal</w:t>
            </w:r>
          </w:p>
        </w:tc>
        <w:tc>
          <w:tcPr>
            <w:tcW w:w="3686" w:type="dxa"/>
          </w:tcPr>
          <w:p w14:paraId="4EBCB9A3" w14:textId="1E6C30BD" w:rsidR="007717A5" w:rsidRPr="00674D55" w:rsidRDefault="007717A5" w:rsidP="007717A5">
            <w:pPr>
              <w:jc w:val="both"/>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highlight w:val="yellow"/>
              </w:rPr>
            </w:pPr>
            <w:r w:rsidRPr="00674D55">
              <w:rPr>
                <w:rFonts w:ascii="Selawik" w:hAnsi="Selawik" w:cs="Calibri Light"/>
                <w:color w:val="000000"/>
                <w:sz w:val="16"/>
                <w:szCs w:val="16"/>
              </w:rPr>
              <w:t>Toma de declaración a la víctima</w:t>
            </w:r>
          </w:p>
        </w:tc>
        <w:tc>
          <w:tcPr>
            <w:tcW w:w="1559" w:type="dxa"/>
          </w:tcPr>
          <w:p w14:paraId="392A8A11" w14:textId="2494BE0A" w:rsidR="007717A5" w:rsidRPr="00674D55" w:rsidDel="003E15F5" w:rsidRDefault="007717A5" w:rsidP="007717A5">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5</w:t>
            </w:r>
            <w:r>
              <w:rPr>
                <w:rFonts w:ascii="Selawik" w:hAnsi="Selawik" w:cs="Calibri Light"/>
                <w:color w:val="000000"/>
                <w:sz w:val="16"/>
                <w:szCs w:val="16"/>
              </w:rPr>
              <w:t>9</w:t>
            </w:r>
            <w:r w:rsidRPr="00674D55">
              <w:rPr>
                <w:rFonts w:ascii="Selawik" w:hAnsi="Selawik" w:cs="Calibri Light"/>
                <w:color w:val="000000"/>
                <w:sz w:val="16"/>
                <w:szCs w:val="16"/>
              </w:rPr>
              <w:t>%</w:t>
            </w:r>
          </w:p>
        </w:tc>
        <w:tc>
          <w:tcPr>
            <w:tcW w:w="1276" w:type="dxa"/>
            <w:noWrap/>
          </w:tcPr>
          <w:p w14:paraId="2FFF7E93" w14:textId="247814C8" w:rsidR="007717A5" w:rsidRPr="00674D55" w:rsidRDefault="007717A5" w:rsidP="007717A5">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17,5%</w:t>
            </w:r>
          </w:p>
        </w:tc>
        <w:tc>
          <w:tcPr>
            <w:tcW w:w="1337" w:type="dxa"/>
            <w:noWrap/>
          </w:tcPr>
          <w:p w14:paraId="77A7A36B" w14:textId="2DC20BB5" w:rsidR="007717A5" w:rsidRPr="00674D55" w:rsidRDefault="007717A5" w:rsidP="007717A5">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Resultado</w:t>
            </w:r>
          </w:p>
        </w:tc>
      </w:tr>
      <w:tr w:rsidR="007717A5" w:rsidRPr="00674D55" w14:paraId="331E7DCA" w14:textId="77777777" w:rsidTr="001A3E0A">
        <w:trPr>
          <w:cnfStyle w:val="000000100000" w:firstRow="0" w:lastRow="0" w:firstColumn="0" w:lastColumn="0" w:oddVBand="0" w:evenVBand="0" w:oddHBand="1" w:evenHBand="0"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988" w:type="dxa"/>
            <w:vMerge/>
          </w:tcPr>
          <w:p w14:paraId="142A8A35" w14:textId="77777777" w:rsidR="007717A5" w:rsidRPr="00674D55" w:rsidRDefault="007717A5" w:rsidP="007717A5">
            <w:pPr>
              <w:jc w:val="center"/>
              <w:rPr>
                <w:rFonts w:ascii="Selawik" w:hAnsi="Selawik" w:cs="Calibri Light"/>
                <w:b w:val="0"/>
                <w:color w:val="000000"/>
                <w:sz w:val="16"/>
                <w:szCs w:val="16"/>
              </w:rPr>
            </w:pPr>
          </w:p>
        </w:tc>
        <w:tc>
          <w:tcPr>
            <w:tcW w:w="1492" w:type="dxa"/>
            <w:vMerge/>
          </w:tcPr>
          <w:p w14:paraId="3F04D56A" w14:textId="77777777" w:rsidR="007717A5" w:rsidRPr="00674D55" w:rsidRDefault="007717A5" w:rsidP="007717A5">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p>
        </w:tc>
        <w:tc>
          <w:tcPr>
            <w:tcW w:w="3686" w:type="dxa"/>
          </w:tcPr>
          <w:p w14:paraId="377C2C42" w14:textId="20D241ED" w:rsidR="007717A5" w:rsidRPr="00674D55" w:rsidRDefault="007717A5" w:rsidP="007717A5">
            <w:pPr>
              <w:spacing w:line="276" w:lineRule="auto"/>
              <w:jc w:val="both"/>
              <w:cnfStyle w:val="000000100000" w:firstRow="0" w:lastRow="0" w:firstColumn="0" w:lastColumn="0" w:oddVBand="0" w:evenVBand="0" w:oddHBand="1" w:evenHBand="0" w:firstRowFirstColumn="0" w:firstRowLastColumn="0" w:lastRowFirstColumn="0" w:lastRowLastColumn="0"/>
              <w:rPr>
                <w:rFonts w:ascii="Selawik" w:hAnsi="Selawik" w:cs="Calibri Light"/>
                <w:sz w:val="16"/>
                <w:szCs w:val="16"/>
              </w:rPr>
            </w:pPr>
            <w:r>
              <w:rPr>
                <w:rFonts w:ascii="Selawik" w:hAnsi="Selawik" w:cs="Calibri Light"/>
                <w:sz w:val="16"/>
                <w:szCs w:val="16"/>
              </w:rPr>
              <w:t>Porcentaje de focos terminados con imputados(s) formalizado(s)</w:t>
            </w:r>
          </w:p>
        </w:tc>
        <w:tc>
          <w:tcPr>
            <w:tcW w:w="1559" w:type="dxa"/>
          </w:tcPr>
          <w:p w14:paraId="31BAB745" w14:textId="4E6611DF" w:rsidR="007717A5" w:rsidRPr="00674D55" w:rsidDel="006F5C8F" w:rsidRDefault="007717A5" w:rsidP="007717A5">
            <w:pPr>
              <w:widowControl w:val="0"/>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Pr>
                <w:rFonts w:ascii="Selawik" w:hAnsi="Selawik" w:cs="Calibri Light"/>
                <w:color w:val="000000"/>
                <w:sz w:val="16"/>
                <w:szCs w:val="16"/>
              </w:rPr>
              <w:t>S/M</w:t>
            </w:r>
          </w:p>
        </w:tc>
        <w:tc>
          <w:tcPr>
            <w:tcW w:w="1276" w:type="dxa"/>
            <w:noWrap/>
          </w:tcPr>
          <w:p w14:paraId="63159CFE" w14:textId="5D5A4DF9" w:rsidR="007717A5" w:rsidRPr="00674D55" w:rsidRDefault="007717A5" w:rsidP="007717A5">
            <w:pPr>
              <w:widowControl w:val="0"/>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Pr>
                <w:rFonts w:ascii="Selawik" w:hAnsi="Selawik" w:cs="Calibri Light"/>
                <w:color w:val="000000"/>
                <w:sz w:val="16"/>
                <w:szCs w:val="16"/>
              </w:rPr>
              <w:t>10,0%</w:t>
            </w:r>
          </w:p>
        </w:tc>
        <w:tc>
          <w:tcPr>
            <w:tcW w:w="1337" w:type="dxa"/>
            <w:noWrap/>
          </w:tcPr>
          <w:p w14:paraId="4F34AEB0" w14:textId="0A425E64" w:rsidR="007717A5" w:rsidRPr="00674D55" w:rsidRDefault="007717A5" w:rsidP="007717A5">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Pr>
                <w:rFonts w:ascii="Selawik" w:hAnsi="Selawik" w:cs="Calibri Light"/>
                <w:color w:val="000000"/>
                <w:sz w:val="16"/>
                <w:szCs w:val="16"/>
              </w:rPr>
              <w:t>Medir e informar</w:t>
            </w:r>
          </w:p>
        </w:tc>
      </w:tr>
      <w:tr w:rsidR="007717A5" w:rsidRPr="00674D55" w14:paraId="6370C613" w14:textId="77777777" w:rsidTr="001A3E0A">
        <w:trPr>
          <w:trHeight w:val="839"/>
        </w:trPr>
        <w:tc>
          <w:tcPr>
            <w:cnfStyle w:val="001000000000" w:firstRow="0" w:lastRow="0" w:firstColumn="1" w:lastColumn="0" w:oddVBand="0" w:evenVBand="0" w:oddHBand="0" w:evenHBand="0" w:firstRowFirstColumn="0" w:firstRowLastColumn="0" w:lastRowFirstColumn="0" w:lastRowLastColumn="0"/>
            <w:tcW w:w="988" w:type="dxa"/>
            <w:vMerge/>
          </w:tcPr>
          <w:p w14:paraId="33CC7EC8" w14:textId="77777777" w:rsidR="007717A5" w:rsidRPr="00674D55" w:rsidRDefault="007717A5" w:rsidP="007717A5">
            <w:pPr>
              <w:jc w:val="center"/>
              <w:rPr>
                <w:rFonts w:ascii="Selawik" w:hAnsi="Selawik" w:cs="Calibri Light"/>
                <w:b w:val="0"/>
                <w:color w:val="000000"/>
                <w:sz w:val="16"/>
                <w:szCs w:val="16"/>
              </w:rPr>
            </w:pPr>
          </w:p>
        </w:tc>
        <w:tc>
          <w:tcPr>
            <w:tcW w:w="1492" w:type="dxa"/>
            <w:vMerge/>
          </w:tcPr>
          <w:p w14:paraId="472894AC" w14:textId="77777777" w:rsidR="007717A5" w:rsidRPr="00674D55" w:rsidRDefault="007717A5" w:rsidP="007717A5">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p>
        </w:tc>
        <w:tc>
          <w:tcPr>
            <w:tcW w:w="3686" w:type="dxa"/>
          </w:tcPr>
          <w:p w14:paraId="7ADC7867" w14:textId="2873B7F5" w:rsidR="007717A5" w:rsidRPr="00674D55" w:rsidRDefault="007717A5" w:rsidP="007717A5">
            <w:pPr>
              <w:jc w:val="both"/>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7717A5">
              <w:rPr>
                <w:rFonts w:ascii="Selawik" w:hAnsi="Selawik" w:cs="Calibri Light"/>
                <w:sz w:val="16"/>
                <w:szCs w:val="16"/>
              </w:rPr>
              <w:t>Solicitud oportuna de instrucciones en los procedimientos asociados a los equipos de Crimen Organizado y Homicidios (ECOH)</w:t>
            </w:r>
          </w:p>
        </w:tc>
        <w:tc>
          <w:tcPr>
            <w:tcW w:w="1559" w:type="dxa"/>
          </w:tcPr>
          <w:p w14:paraId="7703F329" w14:textId="3FB4FE25" w:rsidR="007717A5" w:rsidRPr="00674D55" w:rsidDel="003E15F5" w:rsidRDefault="007717A5" w:rsidP="007717A5">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Pr>
                <w:rFonts w:ascii="Selawik" w:hAnsi="Selawik" w:cs="Calibri Light"/>
                <w:color w:val="000000"/>
                <w:sz w:val="16"/>
                <w:szCs w:val="16"/>
              </w:rPr>
              <w:t>S/M</w:t>
            </w:r>
          </w:p>
        </w:tc>
        <w:tc>
          <w:tcPr>
            <w:tcW w:w="1276" w:type="dxa"/>
            <w:noWrap/>
          </w:tcPr>
          <w:p w14:paraId="6D9473E3" w14:textId="1D869661" w:rsidR="007717A5" w:rsidRPr="00674D55" w:rsidRDefault="007717A5" w:rsidP="007717A5">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Pr>
                <w:rFonts w:ascii="Selawik" w:hAnsi="Selawik" w:cs="Calibri Light"/>
                <w:color w:val="000000"/>
                <w:sz w:val="16"/>
                <w:szCs w:val="16"/>
              </w:rPr>
              <w:t>10,0%</w:t>
            </w:r>
          </w:p>
        </w:tc>
        <w:tc>
          <w:tcPr>
            <w:tcW w:w="1337" w:type="dxa"/>
            <w:noWrap/>
          </w:tcPr>
          <w:p w14:paraId="732EBF60" w14:textId="4F43BEE9" w:rsidR="007717A5" w:rsidRPr="00674D55" w:rsidRDefault="007717A5" w:rsidP="007717A5">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Pr>
                <w:rFonts w:ascii="Selawik" w:hAnsi="Selawik" w:cs="Calibri Light"/>
                <w:color w:val="000000"/>
                <w:sz w:val="16"/>
                <w:szCs w:val="16"/>
              </w:rPr>
              <w:t>Medir e informar</w:t>
            </w:r>
          </w:p>
        </w:tc>
      </w:tr>
      <w:tr w:rsidR="007717A5" w:rsidRPr="00674D55" w14:paraId="0259662D" w14:textId="77777777" w:rsidTr="007717A5">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88" w:type="dxa"/>
            <w:vMerge w:val="restart"/>
          </w:tcPr>
          <w:p w14:paraId="786BBF02" w14:textId="3A53A2CF" w:rsidR="007717A5" w:rsidRPr="00674D55" w:rsidRDefault="007717A5" w:rsidP="007717A5">
            <w:pPr>
              <w:jc w:val="center"/>
              <w:rPr>
                <w:rFonts w:ascii="Selawik" w:hAnsi="Selawik" w:cs="Calibri Light"/>
                <w:b w:val="0"/>
                <w:color w:val="000000"/>
                <w:sz w:val="16"/>
                <w:szCs w:val="16"/>
              </w:rPr>
            </w:pPr>
            <w:r>
              <w:rPr>
                <w:rFonts w:ascii="Selawik" w:hAnsi="Selawik" w:cs="Calibri Light"/>
                <w:color w:val="000000"/>
                <w:sz w:val="16"/>
                <w:szCs w:val="16"/>
              </w:rPr>
              <w:t>MEDIA</w:t>
            </w:r>
          </w:p>
          <w:p w14:paraId="588BB672" w14:textId="2EDA99B1" w:rsidR="007717A5" w:rsidRPr="00674D55" w:rsidRDefault="007717A5" w:rsidP="007717A5">
            <w:pPr>
              <w:jc w:val="center"/>
              <w:rPr>
                <w:rFonts w:ascii="Selawik" w:hAnsi="Selawik" w:cs="Calibri Light"/>
                <w:b w:val="0"/>
                <w:color w:val="000000"/>
                <w:sz w:val="16"/>
                <w:szCs w:val="16"/>
              </w:rPr>
            </w:pPr>
            <w:r>
              <w:rPr>
                <w:rFonts w:ascii="Selawik" w:hAnsi="Selawik" w:cs="Calibri Light"/>
                <w:color w:val="000000"/>
                <w:sz w:val="16"/>
                <w:szCs w:val="16"/>
              </w:rPr>
              <w:t>32,5</w:t>
            </w:r>
            <w:r w:rsidRPr="00674D55">
              <w:rPr>
                <w:rFonts w:ascii="Selawik" w:hAnsi="Selawik" w:cs="Calibri Light"/>
                <w:color w:val="000000"/>
                <w:sz w:val="16"/>
                <w:szCs w:val="16"/>
              </w:rPr>
              <w:t>%</w:t>
            </w:r>
          </w:p>
        </w:tc>
        <w:tc>
          <w:tcPr>
            <w:tcW w:w="1492" w:type="dxa"/>
            <w:vMerge w:val="restart"/>
          </w:tcPr>
          <w:p w14:paraId="02E32409" w14:textId="3C23A1B4" w:rsidR="007717A5" w:rsidRPr="00674D55" w:rsidRDefault="007717A5" w:rsidP="007717A5">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r>
              <w:rPr>
                <w:rFonts w:ascii="Selawik" w:hAnsi="Selawik" w:cs="Calibri Light"/>
                <w:color w:val="000000"/>
                <w:sz w:val="16"/>
                <w:szCs w:val="16"/>
              </w:rPr>
              <w:t>Calidad de servicio</w:t>
            </w:r>
          </w:p>
        </w:tc>
        <w:tc>
          <w:tcPr>
            <w:tcW w:w="3686" w:type="dxa"/>
            <w:hideMark/>
          </w:tcPr>
          <w:p w14:paraId="5EEA20F8" w14:textId="32566F08" w:rsidR="007717A5" w:rsidRPr="00674D55" w:rsidRDefault="007717A5" w:rsidP="007717A5">
            <w:pPr>
              <w:jc w:val="both"/>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r>
              <w:rPr>
                <w:rFonts w:ascii="Selawik" w:hAnsi="Selawik" w:cs="Calibri Light"/>
                <w:color w:val="262626"/>
                <w:sz w:val="16"/>
                <w:szCs w:val="16"/>
                <w:lang w:eastAsia="es-CL"/>
              </w:rPr>
              <w:t>Sistema de calidad de servicio y experiencia usuaria</w:t>
            </w:r>
          </w:p>
        </w:tc>
        <w:tc>
          <w:tcPr>
            <w:tcW w:w="1559" w:type="dxa"/>
          </w:tcPr>
          <w:p w14:paraId="56FFB0AC" w14:textId="77777777" w:rsidR="007717A5" w:rsidRPr="00674D55" w:rsidDel="003E15F5" w:rsidRDefault="007717A5" w:rsidP="007717A5">
            <w:pPr>
              <w:widowControl w:val="0"/>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sidRPr="00674D55">
              <w:rPr>
                <w:rFonts w:ascii="Selawik" w:hAnsi="Selawik" w:cs="Calibri Light"/>
                <w:color w:val="000000"/>
                <w:sz w:val="16"/>
                <w:szCs w:val="16"/>
              </w:rPr>
              <w:t>S/M</w:t>
            </w:r>
          </w:p>
        </w:tc>
        <w:tc>
          <w:tcPr>
            <w:tcW w:w="1276" w:type="dxa"/>
            <w:noWrap/>
            <w:hideMark/>
          </w:tcPr>
          <w:p w14:paraId="2A299A84" w14:textId="0AB9064B" w:rsidR="007717A5" w:rsidRPr="00674D55" w:rsidRDefault="007717A5" w:rsidP="007717A5">
            <w:pPr>
              <w:widowControl w:val="0"/>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1</w:t>
            </w:r>
            <w:r>
              <w:rPr>
                <w:rFonts w:ascii="Selawik" w:hAnsi="Selawik" w:cs="Calibri Light"/>
                <w:color w:val="000000"/>
                <w:sz w:val="16"/>
                <w:szCs w:val="16"/>
              </w:rPr>
              <w:t>5,0</w:t>
            </w:r>
            <w:r w:rsidR="00D62520">
              <w:rPr>
                <w:rFonts w:ascii="Selawik" w:hAnsi="Selawik" w:cs="Calibri Light"/>
                <w:color w:val="000000"/>
                <w:sz w:val="16"/>
                <w:szCs w:val="16"/>
              </w:rPr>
              <w:t>%</w:t>
            </w:r>
          </w:p>
        </w:tc>
        <w:tc>
          <w:tcPr>
            <w:tcW w:w="1337" w:type="dxa"/>
            <w:noWrap/>
            <w:hideMark/>
          </w:tcPr>
          <w:p w14:paraId="1919803D" w14:textId="6E289BA8" w:rsidR="007717A5" w:rsidRPr="00674D55" w:rsidRDefault="007717A5" w:rsidP="007717A5">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Informar</w:t>
            </w:r>
            <w:r>
              <w:rPr>
                <w:rFonts w:ascii="Selawik" w:hAnsi="Selawik" w:cs="Calibri Light"/>
                <w:color w:val="000000"/>
                <w:sz w:val="16"/>
                <w:szCs w:val="16"/>
              </w:rPr>
              <w:t xml:space="preserve"> correctamente</w:t>
            </w:r>
          </w:p>
        </w:tc>
      </w:tr>
      <w:tr w:rsidR="007717A5" w:rsidRPr="00674D55" w14:paraId="5E92FC24" w14:textId="77777777" w:rsidTr="001A3E0A">
        <w:trPr>
          <w:trHeight w:val="1016"/>
        </w:trPr>
        <w:tc>
          <w:tcPr>
            <w:cnfStyle w:val="001000000000" w:firstRow="0" w:lastRow="0" w:firstColumn="1" w:lastColumn="0" w:oddVBand="0" w:evenVBand="0" w:oddHBand="0" w:evenHBand="0" w:firstRowFirstColumn="0" w:firstRowLastColumn="0" w:lastRowFirstColumn="0" w:lastRowLastColumn="0"/>
            <w:tcW w:w="988" w:type="dxa"/>
            <w:vMerge/>
          </w:tcPr>
          <w:p w14:paraId="3AB180CC" w14:textId="77777777" w:rsidR="007717A5" w:rsidRPr="00674D55" w:rsidRDefault="007717A5" w:rsidP="007717A5">
            <w:pPr>
              <w:jc w:val="center"/>
              <w:rPr>
                <w:rFonts w:ascii="Selawik" w:hAnsi="Selawik" w:cs="Calibri Light"/>
                <w:b w:val="0"/>
                <w:color w:val="000000"/>
                <w:sz w:val="16"/>
                <w:szCs w:val="16"/>
              </w:rPr>
            </w:pPr>
          </w:p>
        </w:tc>
        <w:tc>
          <w:tcPr>
            <w:tcW w:w="1492" w:type="dxa"/>
            <w:vMerge/>
          </w:tcPr>
          <w:p w14:paraId="46A6F1A5" w14:textId="77777777" w:rsidR="007717A5" w:rsidRPr="00674D55" w:rsidRDefault="007717A5" w:rsidP="007717A5">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p>
        </w:tc>
        <w:tc>
          <w:tcPr>
            <w:tcW w:w="3686" w:type="dxa"/>
            <w:hideMark/>
          </w:tcPr>
          <w:p w14:paraId="0D912820" w14:textId="77777777" w:rsidR="007717A5" w:rsidRPr="00674D55" w:rsidRDefault="007717A5" w:rsidP="007717A5">
            <w:pPr>
              <w:jc w:val="both"/>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sz w:val="16"/>
                <w:szCs w:val="16"/>
              </w:rPr>
              <w:t>Respuesta oportuna a solicitudes ingresadas por los espacios de atención presencial y web del Sistema de Información y Atención a Usuarios (SIAU)</w:t>
            </w:r>
          </w:p>
        </w:tc>
        <w:tc>
          <w:tcPr>
            <w:tcW w:w="1559" w:type="dxa"/>
          </w:tcPr>
          <w:p w14:paraId="14BD1DA8" w14:textId="17D028E0" w:rsidR="007717A5" w:rsidRPr="00674D55" w:rsidDel="0045316C" w:rsidRDefault="007717A5" w:rsidP="007717A5">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9</w:t>
            </w:r>
            <w:r w:rsidR="00D62520">
              <w:rPr>
                <w:rFonts w:ascii="Selawik" w:hAnsi="Selawik" w:cs="Calibri Light"/>
                <w:color w:val="000000"/>
                <w:sz w:val="16"/>
                <w:szCs w:val="16"/>
              </w:rPr>
              <w:t>2</w:t>
            </w:r>
            <w:r w:rsidRPr="00674D55">
              <w:rPr>
                <w:rFonts w:ascii="Selawik" w:hAnsi="Selawik" w:cs="Calibri Light"/>
                <w:color w:val="000000"/>
                <w:sz w:val="16"/>
                <w:szCs w:val="16"/>
              </w:rPr>
              <w:t>%</w:t>
            </w:r>
          </w:p>
        </w:tc>
        <w:tc>
          <w:tcPr>
            <w:tcW w:w="1276" w:type="dxa"/>
            <w:noWrap/>
            <w:hideMark/>
          </w:tcPr>
          <w:p w14:paraId="36277B31" w14:textId="77777777" w:rsidR="007717A5" w:rsidRPr="00674D55" w:rsidRDefault="007717A5" w:rsidP="007717A5">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17,5%</w:t>
            </w:r>
          </w:p>
        </w:tc>
        <w:tc>
          <w:tcPr>
            <w:tcW w:w="1337" w:type="dxa"/>
            <w:noWrap/>
            <w:hideMark/>
          </w:tcPr>
          <w:p w14:paraId="23ADD361" w14:textId="77777777" w:rsidR="007717A5" w:rsidRPr="00674D55" w:rsidRDefault="007717A5" w:rsidP="007717A5">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Resultado</w:t>
            </w:r>
          </w:p>
        </w:tc>
      </w:tr>
      <w:tr w:rsidR="007717A5" w:rsidRPr="00674D55" w14:paraId="513890B4" w14:textId="77777777" w:rsidTr="007717A5">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88" w:type="dxa"/>
            <w:vMerge w:val="restart"/>
          </w:tcPr>
          <w:p w14:paraId="3FBBB358" w14:textId="77777777" w:rsidR="007717A5" w:rsidRPr="00674D55" w:rsidRDefault="007717A5" w:rsidP="007717A5">
            <w:pPr>
              <w:jc w:val="center"/>
              <w:rPr>
                <w:rFonts w:ascii="Selawik" w:hAnsi="Selawik" w:cs="Calibri Light"/>
                <w:color w:val="000000"/>
                <w:sz w:val="16"/>
                <w:szCs w:val="16"/>
              </w:rPr>
            </w:pPr>
            <w:r w:rsidRPr="00674D55">
              <w:rPr>
                <w:rFonts w:ascii="Selawik" w:hAnsi="Selawik" w:cs="Calibri Light"/>
                <w:color w:val="000000"/>
                <w:sz w:val="16"/>
                <w:szCs w:val="16"/>
              </w:rPr>
              <w:t>BAJA</w:t>
            </w:r>
          </w:p>
          <w:p w14:paraId="1EDC15D5" w14:textId="77777777" w:rsidR="007717A5" w:rsidRPr="00674D55" w:rsidRDefault="007717A5" w:rsidP="007717A5">
            <w:pPr>
              <w:jc w:val="center"/>
              <w:rPr>
                <w:rFonts w:ascii="Selawik" w:hAnsi="Selawik" w:cs="Calibri Light"/>
                <w:color w:val="000000"/>
                <w:sz w:val="16"/>
                <w:szCs w:val="16"/>
              </w:rPr>
            </w:pPr>
            <w:r w:rsidRPr="00674D55">
              <w:rPr>
                <w:rFonts w:ascii="Selawik" w:hAnsi="Selawik" w:cs="Calibri Light"/>
                <w:color w:val="000000"/>
                <w:sz w:val="16"/>
                <w:szCs w:val="16"/>
              </w:rPr>
              <w:t>25%</w:t>
            </w:r>
          </w:p>
        </w:tc>
        <w:tc>
          <w:tcPr>
            <w:tcW w:w="1492" w:type="dxa"/>
            <w:vMerge w:val="restart"/>
          </w:tcPr>
          <w:p w14:paraId="7C3E3E34" w14:textId="77777777" w:rsidR="007717A5" w:rsidRPr="00D62520" w:rsidRDefault="007717A5" w:rsidP="007717A5">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sidRPr="00D62520">
              <w:rPr>
                <w:rFonts w:ascii="Selawik" w:hAnsi="Selawik" w:cs="Calibri Light"/>
                <w:color w:val="000000"/>
                <w:sz w:val="16"/>
                <w:szCs w:val="16"/>
              </w:rPr>
              <w:t>Gestión Institucional</w:t>
            </w:r>
          </w:p>
        </w:tc>
        <w:tc>
          <w:tcPr>
            <w:tcW w:w="3686" w:type="dxa"/>
          </w:tcPr>
          <w:p w14:paraId="7AE54913" w14:textId="1A6DAAF8" w:rsidR="007717A5" w:rsidRPr="00D62520" w:rsidRDefault="00D62520" w:rsidP="007717A5">
            <w:pPr>
              <w:jc w:val="both"/>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sidRPr="00D62520">
              <w:rPr>
                <w:rFonts w:ascii="Selawik" w:hAnsi="Selawik" w:cs="Calibri Light"/>
                <w:color w:val="000000"/>
                <w:sz w:val="16"/>
                <w:szCs w:val="16"/>
              </w:rPr>
              <w:t>Concentración del gasto</w:t>
            </w:r>
          </w:p>
        </w:tc>
        <w:tc>
          <w:tcPr>
            <w:tcW w:w="1559" w:type="dxa"/>
          </w:tcPr>
          <w:p w14:paraId="4931453A" w14:textId="013A9BB8" w:rsidR="007717A5" w:rsidRPr="00674D55" w:rsidRDefault="00D62520" w:rsidP="007717A5">
            <w:pPr>
              <w:widowControl w:val="0"/>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Pr>
                <w:rFonts w:ascii="Selawik" w:hAnsi="Selawik" w:cs="Calibri Light"/>
                <w:color w:val="000000"/>
                <w:sz w:val="16"/>
                <w:szCs w:val="16"/>
              </w:rPr>
              <w:t>&lt;=138</w:t>
            </w:r>
            <w:r w:rsidR="007717A5" w:rsidRPr="00674D55">
              <w:rPr>
                <w:rFonts w:ascii="Selawik" w:hAnsi="Selawik" w:cs="Calibri Light"/>
                <w:color w:val="000000"/>
                <w:sz w:val="16"/>
                <w:szCs w:val="16"/>
              </w:rPr>
              <w:t>%</w:t>
            </w:r>
          </w:p>
        </w:tc>
        <w:tc>
          <w:tcPr>
            <w:tcW w:w="1276" w:type="dxa"/>
            <w:noWrap/>
          </w:tcPr>
          <w:p w14:paraId="0239AE7F" w14:textId="7E767927" w:rsidR="007717A5" w:rsidRPr="00674D55" w:rsidRDefault="00D62520" w:rsidP="007717A5">
            <w:pPr>
              <w:widowControl w:val="0"/>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Pr>
                <w:rFonts w:ascii="Selawik" w:hAnsi="Selawik" w:cs="Calibri Light"/>
                <w:color w:val="000000"/>
                <w:sz w:val="16"/>
                <w:szCs w:val="16"/>
              </w:rPr>
              <w:t>10,0</w:t>
            </w:r>
            <w:r w:rsidR="007717A5" w:rsidRPr="00674D55">
              <w:rPr>
                <w:rFonts w:ascii="Selawik" w:hAnsi="Selawik" w:cs="Calibri Light"/>
                <w:color w:val="000000"/>
                <w:sz w:val="16"/>
                <w:szCs w:val="16"/>
              </w:rPr>
              <w:t>%</w:t>
            </w:r>
          </w:p>
        </w:tc>
        <w:tc>
          <w:tcPr>
            <w:tcW w:w="1337" w:type="dxa"/>
            <w:noWrap/>
          </w:tcPr>
          <w:p w14:paraId="79E7EB3E" w14:textId="77777777" w:rsidR="007717A5" w:rsidRPr="00674D55" w:rsidRDefault="007717A5" w:rsidP="007717A5">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color w:val="000000"/>
                <w:sz w:val="16"/>
                <w:szCs w:val="16"/>
              </w:rPr>
            </w:pPr>
            <w:r w:rsidRPr="00674D55">
              <w:rPr>
                <w:rFonts w:ascii="Selawik" w:hAnsi="Selawik" w:cs="Calibri Light"/>
                <w:color w:val="000000"/>
                <w:sz w:val="16"/>
                <w:szCs w:val="16"/>
              </w:rPr>
              <w:t>Resultado</w:t>
            </w:r>
          </w:p>
        </w:tc>
      </w:tr>
      <w:tr w:rsidR="00D62520" w:rsidRPr="00674D55" w14:paraId="46E98104" w14:textId="77777777" w:rsidTr="007717A5">
        <w:trPr>
          <w:trHeight w:val="510"/>
        </w:trPr>
        <w:tc>
          <w:tcPr>
            <w:cnfStyle w:val="001000000000" w:firstRow="0" w:lastRow="0" w:firstColumn="1" w:lastColumn="0" w:oddVBand="0" w:evenVBand="0" w:oddHBand="0" w:evenHBand="0" w:firstRowFirstColumn="0" w:firstRowLastColumn="0" w:lastRowFirstColumn="0" w:lastRowLastColumn="0"/>
            <w:tcW w:w="988" w:type="dxa"/>
            <w:vMerge/>
          </w:tcPr>
          <w:p w14:paraId="02141872" w14:textId="77777777" w:rsidR="00D62520" w:rsidRPr="00674D55" w:rsidRDefault="00D62520" w:rsidP="00D62520">
            <w:pPr>
              <w:jc w:val="center"/>
              <w:rPr>
                <w:rFonts w:ascii="Selawik" w:hAnsi="Selawik" w:cs="Calibri Light"/>
                <w:b w:val="0"/>
                <w:color w:val="000000"/>
                <w:sz w:val="16"/>
                <w:szCs w:val="16"/>
              </w:rPr>
            </w:pPr>
          </w:p>
        </w:tc>
        <w:tc>
          <w:tcPr>
            <w:tcW w:w="1492" w:type="dxa"/>
            <w:vMerge/>
          </w:tcPr>
          <w:p w14:paraId="57FA72BA" w14:textId="77777777" w:rsidR="00D62520" w:rsidRPr="00D62520" w:rsidRDefault="00D62520" w:rsidP="00D62520">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color w:val="000000"/>
                <w:sz w:val="16"/>
                <w:szCs w:val="16"/>
              </w:rPr>
            </w:pPr>
          </w:p>
        </w:tc>
        <w:tc>
          <w:tcPr>
            <w:tcW w:w="3686" w:type="dxa"/>
          </w:tcPr>
          <w:p w14:paraId="3E1034F2" w14:textId="5FE56F4F" w:rsidR="00D62520" w:rsidRPr="00D62520" w:rsidRDefault="00D62520" w:rsidP="00D62520">
            <w:pPr>
              <w:jc w:val="both"/>
              <w:cnfStyle w:val="000000000000" w:firstRow="0" w:lastRow="0" w:firstColumn="0" w:lastColumn="0" w:oddVBand="0" w:evenVBand="0" w:oddHBand="0" w:evenHBand="0" w:firstRowFirstColumn="0" w:firstRowLastColumn="0" w:lastRowFirstColumn="0" w:lastRowLastColumn="0"/>
              <w:rPr>
                <w:rFonts w:ascii="Selawik" w:hAnsi="Selawik" w:cs="Calibri Light"/>
                <w:color w:val="000000"/>
                <w:sz w:val="16"/>
                <w:szCs w:val="16"/>
              </w:rPr>
            </w:pPr>
            <w:r w:rsidRPr="00D62520">
              <w:rPr>
                <w:rFonts w:ascii="Selawik" w:hAnsi="Selawik" w:cs="Calibri Light"/>
                <w:color w:val="000000"/>
                <w:sz w:val="16"/>
                <w:szCs w:val="16"/>
              </w:rPr>
              <w:t>Sistema Fiscalía</w:t>
            </w:r>
            <w:r>
              <w:rPr>
                <w:rFonts w:ascii="Selawik" w:hAnsi="Selawik" w:cs="Calibri Light"/>
                <w:color w:val="000000"/>
                <w:sz w:val="16"/>
                <w:szCs w:val="16"/>
              </w:rPr>
              <w:t xml:space="preserve"> </w:t>
            </w:r>
            <w:r w:rsidRPr="00D62520">
              <w:rPr>
                <w:rFonts w:ascii="Selawik" w:hAnsi="Selawik" w:cs="Calibri Light"/>
                <w:color w:val="000000"/>
                <w:sz w:val="16"/>
                <w:szCs w:val="16"/>
              </w:rPr>
              <w:t>Digital</w:t>
            </w:r>
          </w:p>
        </w:tc>
        <w:tc>
          <w:tcPr>
            <w:tcW w:w="1559" w:type="dxa"/>
          </w:tcPr>
          <w:p w14:paraId="0ECBFD8F" w14:textId="5534E8B2" w:rsidR="00D62520" w:rsidRPr="00674D55" w:rsidDel="0045316C" w:rsidRDefault="00D62520" w:rsidP="00D62520">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S/M</w:t>
            </w:r>
          </w:p>
        </w:tc>
        <w:tc>
          <w:tcPr>
            <w:tcW w:w="1276" w:type="dxa"/>
            <w:noWrap/>
          </w:tcPr>
          <w:p w14:paraId="42CB2207" w14:textId="6354A67E" w:rsidR="00D62520" w:rsidRPr="00674D55" w:rsidRDefault="00D62520" w:rsidP="00D62520">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1</w:t>
            </w:r>
            <w:r>
              <w:rPr>
                <w:rFonts w:ascii="Selawik" w:hAnsi="Selawik" w:cs="Calibri Light"/>
                <w:color w:val="000000"/>
                <w:sz w:val="16"/>
                <w:szCs w:val="16"/>
              </w:rPr>
              <w:t>5,0%</w:t>
            </w:r>
          </w:p>
        </w:tc>
        <w:tc>
          <w:tcPr>
            <w:tcW w:w="1337" w:type="dxa"/>
            <w:noWrap/>
          </w:tcPr>
          <w:p w14:paraId="05E54089" w14:textId="02EFEC83" w:rsidR="00D62520" w:rsidRPr="00674D55" w:rsidRDefault="00D62520" w:rsidP="00D62520">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Informar</w:t>
            </w:r>
            <w:r>
              <w:rPr>
                <w:rFonts w:ascii="Selawik" w:hAnsi="Selawik" w:cs="Calibri Light"/>
                <w:color w:val="000000"/>
                <w:sz w:val="16"/>
                <w:szCs w:val="16"/>
              </w:rPr>
              <w:t xml:space="preserve"> correctamente</w:t>
            </w:r>
          </w:p>
        </w:tc>
      </w:tr>
      <w:tr w:rsidR="00D62520" w:rsidRPr="00674D55" w14:paraId="0256BDA8" w14:textId="77777777" w:rsidTr="00D6252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88" w:type="dxa"/>
            <w:vMerge/>
          </w:tcPr>
          <w:p w14:paraId="0707479B" w14:textId="77777777" w:rsidR="00D62520" w:rsidRPr="00674D55" w:rsidRDefault="00D62520" w:rsidP="00D62520">
            <w:pPr>
              <w:jc w:val="center"/>
              <w:rPr>
                <w:rFonts w:ascii="Selawik" w:hAnsi="Selawik" w:cs="Calibri Light"/>
                <w:b w:val="0"/>
                <w:color w:val="000000"/>
                <w:sz w:val="16"/>
                <w:szCs w:val="16"/>
              </w:rPr>
            </w:pPr>
          </w:p>
        </w:tc>
        <w:tc>
          <w:tcPr>
            <w:tcW w:w="1492" w:type="dxa"/>
            <w:vMerge/>
          </w:tcPr>
          <w:p w14:paraId="3D52ADEC" w14:textId="77777777" w:rsidR="00D62520" w:rsidRPr="00674D55" w:rsidRDefault="00D62520" w:rsidP="00D62520">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p>
        </w:tc>
        <w:tc>
          <w:tcPr>
            <w:tcW w:w="3686" w:type="dxa"/>
          </w:tcPr>
          <w:p w14:paraId="27E6FB72" w14:textId="3AC71400" w:rsidR="00D62520" w:rsidRPr="00D62520" w:rsidRDefault="00D62520" w:rsidP="00D62520">
            <w:pPr>
              <w:jc w:val="both"/>
              <w:cnfStyle w:val="000000100000" w:firstRow="0" w:lastRow="0" w:firstColumn="0" w:lastColumn="0" w:oddVBand="0" w:evenVBand="0" w:oddHBand="1" w:evenHBand="0" w:firstRowFirstColumn="0" w:firstRowLastColumn="0" w:lastRowFirstColumn="0" w:lastRowLastColumn="0"/>
              <w:rPr>
                <w:rFonts w:ascii="Selawik" w:hAnsi="Selawik" w:cs="Calibri Light"/>
                <w:bCs/>
                <w:color w:val="000000"/>
                <w:sz w:val="16"/>
                <w:szCs w:val="16"/>
              </w:rPr>
            </w:pPr>
            <w:r w:rsidRPr="00D62520">
              <w:rPr>
                <w:rFonts w:ascii="Selawik" w:hAnsi="Selawik" w:cs="Calibri Light"/>
                <w:bCs/>
                <w:color w:val="000000"/>
                <w:sz w:val="16"/>
                <w:szCs w:val="16"/>
              </w:rPr>
              <w:t>Sistema Política de relaciones laborales</w:t>
            </w:r>
          </w:p>
        </w:tc>
        <w:tc>
          <w:tcPr>
            <w:tcW w:w="1559" w:type="dxa"/>
          </w:tcPr>
          <w:p w14:paraId="63490D8B" w14:textId="2D369A72" w:rsidR="00D62520" w:rsidRPr="00674D55" w:rsidDel="0045316C" w:rsidRDefault="00D62520" w:rsidP="00D62520">
            <w:pPr>
              <w:widowControl w:val="0"/>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S/M</w:t>
            </w:r>
          </w:p>
        </w:tc>
        <w:tc>
          <w:tcPr>
            <w:tcW w:w="1276" w:type="dxa"/>
            <w:noWrap/>
            <w:hideMark/>
          </w:tcPr>
          <w:p w14:paraId="04997221" w14:textId="1AD390DF" w:rsidR="00D62520" w:rsidRPr="00674D55" w:rsidRDefault="00D62520" w:rsidP="00D62520">
            <w:pPr>
              <w:widowControl w:val="0"/>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1</w:t>
            </w:r>
            <w:r>
              <w:rPr>
                <w:rFonts w:ascii="Selawik" w:hAnsi="Selawik" w:cs="Calibri Light"/>
                <w:color w:val="000000"/>
                <w:sz w:val="16"/>
                <w:szCs w:val="16"/>
              </w:rPr>
              <w:t>5,0%</w:t>
            </w:r>
          </w:p>
        </w:tc>
        <w:tc>
          <w:tcPr>
            <w:tcW w:w="1337" w:type="dxa"/>
            <w:noWrap/>
            <w:hideMark/>
          </w:tcPr>
          <w:p w14:paraId="0DBC0D4B" w14:textId="04EE8104" w:rsidR="00D62520" w:rsidRPr="00674D55" w:rsidRDefault="00D62520" w:rsidP="00D62520">
            <w:pPr>
              <w:jc w:val="center"/>
              <w:cnfStyle w:val="000000100000" w:firstRow="0" w:lastRow="0" w:firstColumn="0" w:lastColumn="0" w:oddVBand="0" w:evenVBand="0" w:oddHBand="1"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Informar</w:t>
            </w:r>
            <w:r>
              <w:rPr>
                <w:rFonts w:ascii="Selawik" w:hAnsi="Selawik" w:cs="Calibri Light"/>
                <w:color w:val="000000"/>
                <w:sz w:val="16"/>
                <w:szCs w:val="16"/>
              </w:rPr>
              <w:t xml:space="preserve"> correctamente</w:t>
            </w:r>
          </w:p>
        </w:tc>
      </w:tr>
      <w:tr w:rsidR="007717A5" w:rsidRPr="00674D55" w14:paraId="4AEB0B85" w14:textId="77777777" w:rsidTr="00D62520">
        <w:trPr>
          <w:trHeight w:val="607"/>
        </w:trPr>
        <w:tc>
          <w:tcPr>
            <w:cnfStyle w:val="001000000000" w:firstRow="0" w:lastRow="0" w:firstColumn="1" w:lastColumn="0" w:oddVBand="0" w:evenVBand="0" w:oddHBand="0" w:evenHBand="0" w:firstRowFirstColumn="0" w:firstRowLastColumn="0" w:lastRowFirstColumn="0" w:lastRowLastColumn="0"/>
            <w:tcW w:w="988" w:type="dxa"/>
            <w:vMerge/>
          </w:tcPr>
          <w:p w14:paraId="17DD5384" w14:textId="77777777" w:rsidR="007717A5" w:rsidRPr="00674D55" w:rsidRDefault="007717A5" w:rsidP="007717A5">
            <w:pPr>
              <w:jc w:val="center"/>
              <w:rPr>
                <w:rFonts w:ascii="Selawik" w:hAnsi="Selawik" w:cs="Calibri Light"/>
                <w:b w:val="0"/>
                <w:color w:val="000000"/>
                <w:sz w:val="16"/>
                <w:szCs w:val="16"/>
              </w:rPr>
            </w:pPr>
          </w:p>
        </w:tc>
        <w:tc>
          <w:tcPr>
            <w:tcW w:w="1492" w:type="dxa"/>
            <w:vMerge/>
          </w:tcPr>
          <w:p w14:paraId="20D99EAF" w14:textId="77777777" w:rsidR="007717A5" w:rsidRPr="00674D55" w:rsidRDefault="007717A5" w:rsidP="007717A5">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p>
        </w:tc>
        <w:tc>
          <w:tcPr>
            <w:tcW w:w="3686" w:type="dxa"/>
          </w:tcPr>
          <w:p w14:paraId="57A96E19" w14:textId="691F6E49" w:rsidR="007717A5" w:rsidRPr="00674D55" w:rsidRDefault="00D62520" w:rsidP="007717A5">
            <w:pPr>
              <w:jc w:val="both"/>
              <w:cnfStyle w:val="000000000000" w:firstRow="0" w:lastRow="0" w:firstColumn="0" w:lastColumn="0" w:oddVBand="0" w:evenVBand="0" w:oddHBand="0" w:evenHBand="0" w:firstRowFirstColumn="0" w:firstRowLastColumn="0" w:lastRowFirstColumn="0" w:lastRowLastColumn="0"/>
              <w:rPr>
                <w:rFonts w:ascii="Selawik" w:eastAsia="Calibri" w:hAnsi="Selawik" w:cs="Calibri Light"/>
                <w:sz w:val="16"/>
                <w:szCs w:val="16"/>
                <w:lang w:val="es-CL" w:eastAsia="en-US"/>
              </w:rPr>
            </w:pPr>
            <w:r>
              <w:rPr>
                <w:rFonts w:ascii="Selawik" w:eastAsia="Calibri" w:hAnsi="Selawik" w:cs="Calibri Light"/>
                <w:sz w:val="16"/>
                <w:szCs w:val="16"/>
                <w:lang w:val="es-CL" w:eastAsia="en-US"/>
              </w:rPr>
              <w:t>Porcentaje de actividades del plan de acción de la Política de Género implementadas</w:t>
            </w:r>
          </w:p>
        </w:tc>
        <w:tc>
          <w:tcPr>
            <w:tcW w:w="1559" w:type="dxa"/>
          </w:tcPr>
          <w:p w14:paraId="19F19CB6" w14:textId="2D11B219" w:rsidR="007717A5" w:rsidRPr="00674D55" w:rsidDel="0045316C" w:rsidRDefault="007717A5" w:rsidP="007717A5">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100%</w:t>
            </w:r>
          </w:p>
        </w:tc>
        <w:tc>
          <w:tcPr>
            <w:tcW w:w="1276" w:type="dxa"/>
            <w:noWrap/>
            <w:hideMark/>
          </w:tcPr>
          <w:p w14:paraId="6515AD9C" w14:textId="77777777" w:rsidR="007717A5" w:rsidRPr="00674D55" w:rsidRDefault="007717A5" w:rsidP="007717A5">
            <w:pPr>
              <w:widowControl w:val="0"/>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b/>
                <w:color w:val="000000"/>
                <w:sz w:val="16"/>
                <w:szCs w:val="16"/>
              </w:rPr>
            </w:pPr>
            <w:r w:rsidRPr="00674D55">
              <w:rPr>
                <w:rFonts w:ascii="Selawik" w:hAnsi="Selawik" w:cs="Calibri Light"/>
                <w:color w:val="000000"/>
                <w:sz w:val="16"/>
                <w:szCs w:val="16"/>
              </w:rPr>
              <w:t>5%</w:t>
            </w:r>
          </w:p>
        </w:tc>
        <w:tc>
          <w:tcPr>
            <w:tcW w:w="1337" w:type="dxa"/>
            <w:noWrap/>
            <w:hideMark/>
          </w:tcPr>
          <w:p w14:paraId="0BB21C0E" w14:textId="6E3B1EC5" w:rsidR="007717A5" w:rsidRPr="00674D55" w:rsidRDefault="007717A5" w:rsidP="007717A5">
            <w:pPr>
              <w:jc w:val="center"/>
              <w:cnfStyle w:val="000000000000" w:firstRow="0" w:lastRow="0" w:firstColumn="0" w:lastColumn="0" w:oddVBand="0" w:evenVBand="0" w:oddHBand="0" w:evenHBand="0" w:firstRowFirstColumn="0" w:firstRowLastColumn="0" w:lastRowFirstColumn="0" w:lastRowLastColumn="0"/>
              <w:rPr>
                <w:rFonts w:ascii="Selawik" w:hAnsi="Selawik" w:cs="Calibri Light"/>
                <w:color w:val="000000"/>
                <w:sz w:val="16"/>
                <w:szCs w:val="16"/>
              </w:rPr>
            </w:pPr>
            <w:r w:rsidRPr="00674D55">
              <w:rPr>
                <w:rFonts w:ascii="Selawik" w:hAnsi="Selawik" w:cs="Calibri Light"/>
                <w:color w:val="000000"/>
                <w:sz w:val="16"/>
                <w:szCs w:val="16"/>
              </w:rPr>
              <w:t>Resultado</w:t>
            </w:r>
          </w:p>
        </w:tc>
      </w:tr>
    </w:tbl>
    <w:p w14:paraId="3625BD44" w14:textId="79A44F52" w:rsidR="00D04B42" w:rsidRPr="00674D55" w:rsidRDefault="00752837" w:rsidP="00BC43DD">
      <w:pPr>
        <w:rPr>
          <w:rFonts w:ascii="Selawik" w:hAnsi="Selawik" w:cs="Arial"/>
          <w:sz w:val="20"/>
        </w:rPr>
      </w:pPr>
      <w:r w:rsidRPr="00674D55">
        <w:rPr>
          <w:rFonts w:ascii="Selawik" w:hAnsi="Selawik" w:cs="Arial"/>
          <w:sz w:val="20"/>
        </w:rPr>
        <w:t>S/M: sin meta</w:t>
      </w:r>
    </w:p>
    <w:p w14:paraId="46ABA866" w14:textId="426833CF" w:rsidR="00F10520" w:rsidRPr="00674D55" w:rsidRDefault="00F10520" w:rsidP="00BC43DD">
      <w:pPr>
        <w:rPr>
          <w:rFonts w:ascii="Selawik" w:hAnsi="Selawik"/>
        </w:rPr>
      </w:pPr>
    </w:p>
    <w:p w14:paraId="3298757A" w14:textId="58682EB6" w:rsidR="00F10520" w:rsidRDefault="00F10520" w:rsidP="00BC43DD"/>
    <w:sectPr w:rsidR="00F10520" w:rsidSect="007F7D78">
      <w:footerReference w:type="default" r:id="rId9"/>
      <w:pgSz w:w="12240" w:h="15840"/>
      <w:pgMar w:top="993" w:right="1183"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5B2FD" w14:textId="77777777" w:rsidR="002A06D7" w:rsidRDefault="002A06D7" w:rsidP="004C5016">
      <w:r>
        <w:separator/>
      </w:r>
    </w:p>
  </w:endnote>
  <w:endnote w:type="continuationSeparator" w:id="0">
    <w:p w14:paraId="24148F0A" w14:textId="77777777" w:rsidR="002A06D7" w:rsidRDefault="002A06D7" w:rsidP="004C5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lawik">
    <w:charset w:val="00"/>
    <w:family w:val="swiss"/>
    <w:pitch w:val="variable"/>
    <w:sig w:usb0="00000007" w:usb1="00000000" w:usb2="00000000" w:usb3="00000000" w:csb0="00000093" w:csb1="00000000"/>
  </w:font>
  <w:font w:name="Bahnschrift SemiBold SemiConden">
    <w:altName w:val="Calibri"/>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70363"/>
      <w:docPartObj>
        <w:docPartGallery w:val="Page Numbers (Bottom of Page)"/>
        <w:docPartUnique/>
      </w:docPartObj>
    </w:sdtPr>
    <w:sdtContent>
      <w:sdt>
        <w:sdtPr>
          <w:id w:val="860082579"/>
          <w:docPartObj>
            <w:docPartGallery w:val="Page Numbers (Top of Page)"/>
            <w:docPartUnique/>
          </w:docPartObj>
        </w:sdtPr>
        <w:sdtContent>
          <w:p w14:paraId="5277FD9F" w14:textId="77777777" w:rsidR="001C1DC3" w:rsidRDefault="001C1DC3" w:rsidP="001C1DC3">
            <w:pPr>
              <w:pStyle w:val="Piedepgina"/>
              <w:jc w:val="center"/>
            </w:pPr>
            <w:r w:rsidRPr="001C1DC3">
              <w:rPr>
                <w:rFonts w:asciiTheme="minorHAnsi" w:hAnsiTheme="minorHAnsi"/>
                <w:noProof/>
                <w:color w:val="8DB3E2" w:themeColor="text2" w:themeTint="66"/>
                <w:sz w:val="16"/>
                <w:lang w:val="es-CL" w:eastAsia="es-CL"/>
              </w:rPr>
              <mc:AlternateContent>
                <mc:Choice Requires="wps">
                  <w:drawing>
                    <wp:anchor distT="0" distB="0" distL="114300" distR="114300" simplePos="0" relativeHeight="251661312" behindDoc="0" locked="0" layoutInCell="1" allowOverlap="1" wp14:anchorId="3D00175B" wp14:editId="478CE5FC">
                      <wp:simplePos x="0" y="0"/>
                      <wp:positionH relativeFrom="column">
                        <wp:posOffset>3458845</wp:posOffset>
                      </wp:positionH>
                      <wp:positionV relativeFrom="paragraph">
                        <wp:posOffset>67945</wp:posOffset>
                      </wp:positionV>
                      <wp:extent cx="2727960" cy="0"/>
                      <wp:effectExtent l="0" t="0" r="15240" b="19050"/>
                      <wp:wrapNone/>
                      <wp:docPr id="3" name="3 Conector recto"/>
                      <wp:cNvGraphicFramePr/>
                      <a:graphic xmlns:a="http://schemas.openxmlformats.org/drawingml/2006/main">
                        <a:graphicData uri="http://schemas.microsoft.com/office/word/2010/wordprocessingShape">
                          <wps:wsp>
                            <wps:cNvCnPr/>
                            <wps:spPr>
                              <a:xfrm>
                                <a:off x="0" y="0"/>
                                <a:ext cx="2727960" cy="0"/>
                              </a:xfrm>
                              <a:prstGeom prst="line">
                                <a:avLst/>
                              </a:prstGeom>
                              <a:ln>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F7AFEE" id="3 Conector recto"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2.35pt,5.35pt" to="487.1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" strokecolor="#8db3e2 [1311]"/>
                  </w:pict>
                </mc:Fallback>
              </mc:AlternateContent>
            </w:r>
            <w:r w:rsidRPr="001C1DC3">
              <w:rPr>
                <w:rFonts w:asciiTheme="minorHAnsi" w:hAnsiTheme="minorHAnsi"/>
                <w:noProof/>
                <w:color w:val="8DB3E2" w:themeColor="text2" w:themeTint="66"/>
                <w:sz w:val="16"/>
                <w:lang w:val="es-CL" w:eastAsia="es-CL"/>
              </w:rPr>
              <mc:AlternateContent>
                <mc:Choice Requires="wps">
                  <w:drawing>
                    <wp:anchor distT="0" distB="0" distL="114300" distR="114300" simplePos="0" relativeHeight="251659264" behindDoc="0" locked="0" layoutInCell="1" allowOverlap="1" wp14:anchorId="035FCBEB" wp14:editId="0D1EA1E8">
                      <wp:simplePos x="0" y="0"/>
                      <wp:positionH relativeFrom="column">
                        <wp:posOffset>-30480</wp:posOffset>
                      </wp:positionH>
                      <wp:positionV relativeFrom="paragraph">
                        <wp:posOffset>67945</wp:posOffset>
                      </wp:positionV>
                      <wp:extent cx="2764790" cy="0"/>
                      <wp:effectExtent l="0" t="0" r="16510" b="19050"/>
                      <wp:wrapNone/>
                      <wp:docPr id="1" name="1 Conector recto"/>
                      <wp:cNvGraphicFramePr/>
                      <a:graphic xmlns:a="http://schemas.openxmlformats.org/drawingml/2006/main">
                        <a:graphicData uri="http://schemas.microsoft.com/office/word/2010/wordprocessingShape">
                          <wps:wsp>
                            <wps:cNvCnPr/>
                            <wps:spPr>
                              <a:xfrm>
                                <a:off x="0" y="0"/>
                                <a:ext cx="2764790" cy="0"/>
                              </a:xfrm>
                              <a:prstGeom prst="line">
                                <a:avLst/>
                              </a:prstGeom>
                              <a:ln>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015923" id="1 Conector recto"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pt,5.35pt" to="215.3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" strokecolor="#8db3e2 [1311]"/>
                  </w:pict>
                </mc:Fallback>
              </mc:AlternateContent>
            </w:r>
            <w:r>
              <w:rPr>
                <w:rFonts w:asciiTheme="minorHAnsi" w:hAnsiTheme="minorHAnsi"/>
                <w:noProof/>
                <w:color w:val="8DB3E2" w:themeColor="text2" w:themeTint="66"/>
                <w:sz w:val="16"/>
                <w:lang w:val="es-CL" w:eastAsia="es-CL"/>
              </w:rPr>
              <w:t xml:space="preserve">  </w:t>
            </w:r>
            <w:r w:rsidRPr="001C1DC3">
              <w:rPr>
                <w:rFonts w:asciiTheme="minorHAnsi" w:hAnsiTheme="minorHAnsi"/>
                <w:color w:val="8DB3E2" w:themeColor="text2" w:themeTint="66"/>
                <w:sz w:val="16"/>
              </w:rPr>
              <w:t xml:space="preserve">Página </w:t>
            </w:r>
            <w:r w:rsidRPr="001C1DC3">
              <w:rPr>
                <w:rFonts w:asciiTheme="minorHAnsi" w:hAnsiTheme="minorHAnsi"/>
                <w:b/>
                <w:bCs/>
                <w:color w:val="8DB3E2" w:themeColor="text2" w:themeTint="66"/>
                <w:sz w:val="16"/>
              </w:rPr>
              <w:fldChar w:fldCharType="begin"/>
            </w:r>
            <w:r w:rsidRPr="001C1DC3">
              <w:rPr>
                <w:rFonts w:asciiTheme="minorHAnsi" w:hAnsiTheme="minorHAnsi"/>
                <w:b/>
                <w:bCs/>
                <w:color w:val="8DB3E2" w:themeColor="text2" w:themeTint="66"/>
                <w:sz w:val="16"/>
              </w:rPr>
              <w:instrText>PAGE</w:instrText>
            </w:r>
            <w:r w:rsidRPr="001C1DC3">
              <w:rPr>
                <w:rFonts w:asciiTheme="minorHAnsi" w:hAnsiTheme="minorHAnsi"/>
                <w:b/>
                <w:bCs/>
                <w:color w:val="8DB3E2" w:themeColor="text2" w:themeTint="66"/>
                <w:sz w:val="16"/>
              </w:rPr>
              <w:fldChar w:fldCharType="separate"/>
            </w:r>
            <w:r w:rsidR="00FB537B">
              <w:rPr>
                <w:rFonts w:asciiTheme="minorHAnsi" w:hAnsiTheme="minorHAnsi"/>
                <w:b/>
                <w:bCs/>
                <w:noProof/>
                <w:color w:val="8DB3E2" w:themeColor="text2" w:themeTint="66"/>
                <w:sz w:val="16"/>
              </w:rPr>
              <w:t>2</w:t>
            </w:r>
            <w:r w:rsidRPr="001C1DC3">
              <w:rPr>
                <w:rFonts w:asciiTheme="minorHAnsi" w:hAnsiTheme="minorHAnsi"/>
                <w:b/>
                <w:bCs/>
                <w:color w:val="8DB3E2" w:themeColor="text2" w:themeTint="66"/>
                <w:sz w:val="16"/>
              </w:rPr>
              <w:fldChar w:fldCharType="end"/>
            </w:r>
            <w:r w:rsidRPr="001C1DC3">
              <w:rPr>
                <w:rFonts w:asciiTheme="minorHAnsi" w:hAnsiTheme="minorHAnsi"/>
                <w:color w:val="8DB3E2" w:themeColor="text2" w:themeTint="66"/>
                <w:sz w:val="16"/>
              </w:rPr>
              <w:t xml:space="preserve"> de </w:t>
            </w:r>
            <w:r w:rsidRPr="001C1DC3">
              <w:rPr>
                <w:rFonts w:asciiTheme="minorHAnsi" w:hAnsiTheme="minorHAnsi"/>
                <w:b/>
                <w:bCs/>
                <w:color w:val="8DB3E2" w:themeColor="text2" w:themeTint="66"/>
                <w:sz w:val="16"/>
              </w:rPr>
              <w:fldChar w:fldCharType="begin"/>
            </w:r>
            <w:r w:rsidRPr="001C1DC3">
              <w:rPr>
                <w:rFonts w:asciiTheme="minorHAnsi" w:hAnsiTheme="minorHAnsi"/>
                <w:b/>
                <w:bCs/>
                <w:color w:val="8DB3E2" w:themeColor="text2" w:themeTint="66"/>
                <w:sz w:val="16"/>
              </w:rPr>
              <w:instrText>NUMPAGES</w:instrText>
            </w:r>
            <w:r w:rsidRPr="001C1DC3">
              <w:rPr>
                <w:rFonts w:asciiTheme="minorHAnsi" w:hAnsiTheme="minorHAnsi"/>
                <w:b/>
                <w:bCs/>
                <w:color w:val="8DB3E2" w:themeColor="text2" w:themeTint="66"/>
                <w:sz w:val="16"/>
              </w:rPr>
              <w:fldChar w:fldCharType="separate"/>
            </w:r>
            <w:r w:rsidR="00FB537B">
              <w:rPr>
                <w:rFonts w:asciiTheme="minorHAnsi" w:hAnsiTheme="minorHAnsi"/>
                <w:b/>
                <w:bCs/>
                <w:noProof/>
                <w:color w:val="8DB3E2" w:themeColor="text2" w:themeTint="66"/>
                <w:sz w:val="16"/>
              </w:rPr>
              <w:t>7</w:t>
            </w:r>
            <w:r w:rsidRPr="001C1DC3">
              <w:rPr>
                <w:rFonts w:asciiTheme="minorHAnsi" w:hAnsiTheme="minorHAnsi"/>
                <w:b/>
                <w:bCs/>
                <w:color w:val="8DB3E2" w:themeColor="text2" w:themeTint="66"/>
                <w:sz w:val="16"/>
              </w:rPr>
              <w:fldChar w:fldCharType="end"/>
            </w:r>
          </w:p>
        </w:sdtContent>
      </w:sdt>
    </w:sdtContent>
  </w:sdt>
  <w:p w14:paraId="60499A92" w14:textId="77777777" w:rsidR="004C5016" w:rsidRDefault="004C501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82224" w14:textId="77777777" w:rsidR="002A06D7" w:rsidRDefault="002A06D7" w:rsidP="004C5016">
      <w:r>
        <w:separator/>
      </w:r>
    </w:p>
  </w:footnote>
  <w:footnote w:type="continuationSeparator" w:id="0">
    <w:p w14:paraId="4EE353AA" w14:textId="77777777" w:rsidR="002A06D7" w:rsidRDefault="002A06D7" w:rsidP="004C5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98252E"/>
    <w:multiLevelType w:val="multilevel"/>
    <w:tmpl w:val="1F3CC110"/>
    <w:lvl w:ilvl="0">
      <w:start w:val="2"/>
      <w:numFmt w:val="decimal"/>
      <w:lvlText w:val="%1"/>
      <w:lvlJc w:val="left"/>
      <w:pPr>
        <w:ind w:left="360" w:hanging="360"/>
      </w:pPr>
      <w:rPr>
        <w:rFonts w:hint="default"/>
      </w:rPr>
    </w:lvl>
    <w:lvl w:ilvl="1">
      <w:start w:val="1"/>
      <w:numFmt w:val="decimal"/>
      <w:lvlText w:val="%2."/>
      <w:lvlJc w:val="left"/>
      <w:pPr>
        <w:ind w:left="644" w:hanging="360"/>
      </w:pPr>
      <w:rPr>
        <w:rFonts w:ascii="Selawik" w:hAnsi="Selawik" w:hint="default"/>
        <w:sz w:val="28"/>
        <w:szCs w:val="24"/>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20D25FF3"/>
    <w:multiLevelType w:val="hybridMultilevel"/>
    <w:tmpl w:val="51909A14"/>
    <w:lvl w:ilvl="0" w:tplc="A170C334">
      <w:start w:val="1"/>
      <w:numFmt w:val="decimal"/>
      <w:lvlText w:val="%1."/>
      <w:lvlJc w:val="left"/>
      <w:pPr>
        <w:ind w:left="432"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E095682"/>
    <w:multiLevelType w:val="hybridMultilevel"/>
    <w:tmpl w:val="EFA2A628"/>
    <w:lvl w:ilvl="0" w:tplc="340A000F">
      <w:start w:val="1"/>
      <w:numFmt w:val="decimal"/>
      <w:lvlText w:val="%1."/>
      <w:lvlJc w:val="left"/>
      <w:pPr>
        <w:ind w:left="360" w:hanging="360"/>
      </w:pPr>
    </w:lvl>
    <w:lvl w:ilvl="1" w:tplc="340A0019" w:tentative="1">
      <w:start w:val="1"/>
      <w:numFmt w:val="lowerLetter"/>
      <w:lvlText w:val="%2."/>
      <w:lvlJc w:val="left"/>
      <w:pPr>
        <w:ind w:left="1221" w:hanging="360"/>
      </w:pPr>
    </w:lvl>
    <w:lvl w:ilvl="2" w:tplc="340A001B" w:tentative="1">
      <w:start w:val="1"/>
      <w:numFmt w:val="lowerRoman"/>
      <w:lvlText w:val="%3."/>
      <w:lvlJc w:val="right"/>
      <w:pPr>
        <w:ind w:left="1941" w:hanging="180"/>
      </w:pPr>
    </w:lvl>
    <w:lvl w:ilvl="3" w:tplc="340A000F" w:tentative="1">
      <w:start w:val="1"/>
      <w:numFmt w:val="decimal"/>
      <w:lvlText w:val="%4."/>
      <w:lvlJc w:val="left"/>
      <w:pPr>
        <w:ind w:left="2661" w:hanging="360"/>
      </w:pPr>
    </w:lvl>
    <w:lvl w:ilvl="4" w:tplc="340A0019" w:tentative="1">
      <w:start w:val="1"/>
      <w:numFmt w:val="lowerLetter"/>
      <w:lvlText w:val="%5."/>
      <w:lvlJc w:val="left"/>
      <w:pPr>
        <w:ind w:left="3381" w:hanging="360"/>
      </w:pPr>
    </w:lvl>
    <w:lvl w:ilvl="5" w:tplc="340A001B" w:tentative="1">
      <w:start w:val="1"/>
      <w:numFmt w:val="lowerRoman"/>
      <w:lvlText w:val="%6."/>
      <w:lvlJc w:val="right"/>
      <w:pPr>
        <w:ind w:left="4101" w:hanging="180"/>
      </w:pPr>
    </w:lvl>
    <w:lvl w:ilvl="6" w:tplc="340A000F" w:tentative="1">
      <w:start w:val="1"/>
      <w:numFmt w:val="decimal"/>
      <w:lvlText w:val="%7."/>
      <w:lvlJc w:val="left"/>
      <w:pPr>
        <w:ind w:left="4821" w:hanging="360"/>
      </w:pPr>
    </w:lvl>
    <w:lvl w:ilvl="7" w:tplc="340A0019" w:tentative="1">
      <w:start w:val="1"/>
      <w:numFmt w:val="lowerLetter"/>
      <w:lvlText w:val="%8."/>
      <w:lvlJc w:val="left"/>
      <w:pPr>
        <w:ind w:left="5541" w:hanging="360"/>
      </w:pPr>
    </w:lvl>
    <w:lvl w:ilvl="8" w:tplc="340A001B" w:tentative="1">
      <w:start w:val="1"/>
      <w:numFmt w:val="lowerRoman"/>
      <w:lvlText w:val="%9."/>
      <w:lvlJc w:val="right"/>
      <w:pPr>
        <w:ind w:left="6261" w:hanging="180"/>
      </w:pPr>
    </w:lvl>
  </w:abstractNum>
  <w:abstractNum w:abstractNumId="3" w15:restartNumberingAfterBreak="0">
    <w:nsid w:val="3F0E358C"/>
    <w:multiLevelType w:val="multilevel"/>
    <w:tmpl w:val="04DA5B2A"/>
    <w:lvl w:ilvl="0">
      <w:start w:val="2"/>
      <w:numFmt w:val="decimal"/>
      <w:lvlText w:val="%1"/>
      <w:lvlJc w:val="left"/>
      <w:pPr>
        <w:ind w:left="360" w:hanging="360"/>
      </w:pPr>
      <w:rPr>
        <w:rFonts w:hint="default"/>
      </w:rPr>
    </w:lvl>
    <w:lvl w:ilvl="1">
      <w:start w:val="1"/>
      <w:numFmt w:val="decimal"/>
      <w:lvlText w:val="%2."/>
      <w:lvlJc w:val="left"/>
      <w:pPr>
        <w:ind w:left="644" w:hanging="360"/>
      </w:pPr>
      <w:rPr>
        <w:rFonts w:ascii="Selawik" w:hAnsi="Selawik" w:hint="default"/>
        <w:sz w:val="28"/>
        <w:szCs w:val="24"/>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55667103"/>
    <w:multiLevelType w:val="hybridMultilevel"/>
    <w:tmpl w:val="A67EC12C"/>
    <w:lvl w:ilvl="0" w:tplc="0C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15:restartNumberingAfterBreak="0">
    <w:nsid w:val="6D3A0723"/>
    <w:multiLevelType w:val="hybridMultilevel"/>
    <w:tmpl w:val="CB1EBB8A"/>
    <w:lvl w:ilvl="0" w:tplc="23D61A80">
      <w:start w:val="1"/>
      <w:numFmt w:val="decimal"/>
      <w:lvlText w:val="%1."/>
      <w:lvlJc w:val="left"/>
      <w:pPr>
        <w:ind w:left="360" w:hanging="360"/>
      </w:pPr>
      <w:rPr>
        <w:b/>
      </w:rPr>
    </w:lvl>
    <w:lvl w:ilvl="1" w:tplc="340A0019" w:tentative="1">
      <w:start w:val="1"/>
      <w:numFmt w:val="lowerLetter"/>
      <w:lvlText w:val="%2."/>
      <w:lvlJc w:val="left"/>
      <w:pPr>
        <w:ind w:left="1221" w:hanging="360"/>
      </w:pPr>
    </w:lvl>
    <w:lvl w:ilvl="2" w:tplc="340A001B" w:tentative="1">
      <w:start w:val="1"/>
      <w:numFmt w:val="lowerRoman"/>
      <w:lvlText w:val="%3."/>
      <w:lvlJc w:val="right"/>
      <w:pPr>
        <w:ind w:left="1941" w:hanging="180"/>
      </w:pPr>
    </w:lvl>
    <w:lvl w:ilvl="3" w:tplc="340A000F" w:tentative="1">
      <w:start w:val="1"/>
      <w:numFmt w:val="decimal"/>
      <w:lvlText w:val="%4."/>
      <w:lvlJc w:val="left"/>
      <w:pPr>
        <w:ind w:left="2661" w:hanging="360"/>
      </w:pPr>
    </w:lvl>
    <w:lvl w:ilvl="4" w:tplc="340A0019" w:tentative="1">
      <w:start w:val="1"/>
      <w:numFmt w:val="lowerLetter"/>
      <w:lvlText w:val="%5."/>
      <w:lvlJc w:val="left"/>
      <w:pPr>
        <w:ind w:left="3381" w:hanging="360"/>
      </w:pPr>
    </w:lvl>
    <w:lvl w:ilvl="5" w:tplc="340A001B" w:tentative="1">
      <w:start w:val="1"/>
      <w:numFmt w:val="lowerRoman"/>
      <w:lvlText w:val="%6."/>
      <w:lvlJc w:val="right"/>
      <w:pPr>
        <w:ind w:left="4101" w:hanging="180"/>
      </w:pPr>
    </w:lvl>
    <w:lvl w:ilvl="6" w:tplc="340A000F" w:tentative="1">
      <w:start w:val="1"/>
      <w:numFmt w:val="decimal"/>
      <w:lvlText w:val="%7."/>
      <w:lvlJc w:val="left"/>
      <w:pPr>
        <w:ind w:left="4821" w:hanging="360"/>
      </w:pPr>
    </w:lvl>
    <w:lvl w:ilvl="7" w:tplc="340A0019" w:tentative="1">
      <w:start w:val="1"/>
      <w:numFmt w:val="lowerLetter"/>
      <w:lvlText w:val="%8."/>
      <w:lvlJc w:val="left"/>
      <w:pPr>
        <w:ind w:left="5541" w:hanging="360"/>
      </w:pPr>
    </w:lvl>
    <w:lvl w:ilvl="8" w:tplc="340A001B" w:tentative="1">
      <w:start w:val="1"/>
      <w:numFmt w:val="lowerRoman"/>
      <w:lvlText w:val="%9."/>
      <w:lvlJc w:val="right"/>
      <w:pPr>
        <w:ind w:left="6261" w:hanging="180"/>
      </w:pPr>
    </w:lvl>
  </w:abstractNum>
  <w:abstractNum w:abstractNumId="6" w15:restartNumberingAfterBreak="0">
    <w:nsid w:val="723769FD"/>
    <w:multiLevelType w:val="hybridMultilevel"/>
    <w:tmpl w:val="840A18D2"/>
    <w:lvl w:ilvl="0" w:tplc="AC8CEEB8">
      <w:start w:val="1"/>
      <w:numFmt w:val="decimal"/>
      <w:lvlText w:val="%1."/>
      <w:lvlJc w:val="left"/>
      <w:pPr>
        <w:ind w:left="360" w:hanging="360"/>
      </w:pPr>
      <w:rPr>
        <w:rFonts w:ascii="Bahnschrift SemiBold SemiConden" w:hAnsi="Bahnschrift SemiBold SemiConden" w:cs="Arial" w:hint="default"/>
        <w:b/>
        <w:sz w:val="1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7BB05FAD"/>
    <w:multiLevelType w:val="hybridMultilevel"/>
    <w:tmpl w:val="1DFCCA26"/>
    <w:lvl w:ilvl="0" w:tplc="5B7055AC">
      <w:start w:val="2"/>
      <w:numFmt w:val="decimal"/>
      <w:lvlText w:val="%1."/>
      <w:lvlJc w:val="left"/>
      <w:pPr>
        <w:ind w:left="432"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2046833197">
    <w:abstractNumId w:val="4"/>
  </w:num>
  <w:num w:numId="2" w16cid:durableId="782265811">
    <w:abstractNumId w:val="5"/>
  </w:num>
  <w:num w:numId="3" w16cid:durableId="1391152485">
    <w:abstractNumId w:val="2"/>
  </w:num>
  <w:num w:numId="4" w16cid:durableId="160970592">
    <w:abstractNumId w:val="6"/>
  </w:num>
  <w:num w:numId="5" w16cid:durableId="914318991">
    <w:abstractNumId w:val="1"/>
  </w:num>
  <w:num w:numId="6" w16cid:durableId="812328846">
    <w:abstractNumId w:val="7"/>
  </w:num>
  <w:num w:numId="7" w16cid:durableId="915167718">
    <w:abstractNumId w:val="3"/>
  </w:num>
  <w:num w:numId="8" w16cid:durableId="182862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016"/>
    <w:rsid w:val="000011EB"/>
    <w:rsid w:val="00001E7D"/>
    <w:rsid w:val="00002FE3"/>
    <w:rsid w:val="00014E12"/>
    <w:rsid w:val="000211BE"/>
    <w:rsid w:val="00022785"/>
    <w:rsid w:val="00024DDC"/>
    <w:rsid w:val="000257C9"/>
    <w:rsid w:val="000523E5"/>
    <w:rsid w:val="0005293E"/>
    <w:rsid w:val="000565A0"/>
    <w:rsid w:val="00060D59"/>
    <w:rsid w:val="00062486"/>
    <w:rsid w:val="000708C3"/>
    <w:rsid w:val="000757E2"/>
    <w:rsid w:val="000911B4"/>
    <w:rsid w:val="00091A71"/>
    <w:rsid w:val="000A7862"/>
    <w:rsid w:val="000C5A11"/>
    <w:rsid w:val="000C65DE"/>
    <w:rsid w:val="000D2E75"/>
    <w:rsid w:val="000D4005"/>
    <w:rsid w:val="000E368D"/>
    <w:rsid w:val="000E67AC"/>
    <w:rsid w:val="00111A25"/>
    <w:rsid w:val="00115963"/>
    <w:rsid w:val="00117D0A"/>
    <w:rsid w:val="001531E7"/>
    <w:rsid w:val="0015487C"/>
    <w:rsid w:val="001548C3"/>
    <w:rsid w:val="00155B28"/>
    <w:rsid w:val="00163241"/>
    <w:rsid w:val="0016456A"/>
    <w:rsid w:val="00176B75"/>
    <w:rsid w:val="001816B0"/>
    <w:rsid w:val="001A2B7B"/>
    <w:rsid w:val="001A3E0A"/>
    <w:rsid w:val="001A50CF"/>
    <w:rsid w:val="001B5630"/>
    <w:rsid w:val="001C0232"/>
    <w:rsid w:val="001C19FF"/>
    <w:rsid w:val="001C1DC3"/>
    <w:rsid w:val="001C4141"/>
    <w:rsid w:val="001C5DCE"/>
    <w:rsid w:val="001D0E27"/>
    <w:rsid w:val="001E33FA"/>
    <w:rsid w:val="0020054E"/>
    <w:rsid w:val="00204601"/>
    <w:rsid w:val="00204969"/>
    <w:rsid w:val="002118C2"/>
    <w:rsid w:val="00213B8A"/>
    <w:rsid w:val="00217E19"/>
    <w:rsid w:val="00224696"/>
    <w:rsid w:val="002251C7"/>
    <w:rsid w:val="00226D1E"/>
    <w:rsid w:val="002405AE"/>
    <w:rsid w:val="002525CA"/>
    <w:rsid w:val="00253E27"/>
    <w:rsid w:val="002549B4"/>
    <w:rsid w:val="00262F30"/>
    <w:rsid w:val="00277FB7"/>
    <w:rsid w:val="00282FC0"/>
    <w:rsid w:val="002865C8"/>
    <w:rsid w:val="00291F1B"/>
    <w:rsid w:val="00296C1B"/>
    <w:rsid w:val="002A02DE"/>
    <w:rsid w:val="002A06D7"/>
    <w:rsid w:val="002C2860"/>
    <w:rsid w:val="002D552A"/>
    <w:rsid w:val="002F1F54"/>
    <w:rsid w:val="002F52AF"/>
    <w:rsid w:val="003050E0"/>
    <w:rsid w:val="003133B6"/>
    <w:rsid w:val="0031740A"/>
    <w:rsid w:val="0032131F"/>
    <w:rsid w:val="0033422B"/>
    <w:rsid w:val="00334D0A"/>
    <w:rsid w:val="003357ED"/>
    <w:rsid w:val="00340433"/>
    <w:rsid w:val="0035254D"/>
    <w:rsid w:val="00353625"/>
    <w:rsid w:val="00356D5E"/>
    <w:rsid w:val="00396327"/>
    <w:rsid w:val="003B63A3"/>
    <w:rsid w:val="003C1784"/>
    <w:rsid w:val="003C4271"/>
    <w:rsid w:val="003C71D2"/>
    <w:rsid w:val="003D0622"/>
    <w:rsid w:val="003D3FBC"/>
    <w:rsid w:val="003D6675"/>
    <w:rsid w:val="004019F0"/>
    <w:rsid w:val="0040368F"/>
    <w:rsid w:val="004065DF"/>
    <w:rsid w:val="00407FD6"/>
    <w:rsid w:val="00414BFF"/>
    <w:rsid w:val="00422454"/>
    <w:rsid w:val="00424E8F"/>
    <w:rsid w:val="00426B12"/>
    <w:rsid w:val="00433A60"/>
    <w:rsid w:val="00440DCE"/>
    <w:rsid w:val="004669C2"/>
    <w:rsid w:val="00470A3E"/>
    <w:rsid w:val="004735ED"/>
    <w:rsid w:val="00483DF4"/>
    <w:rsid w:val="00486C67"/>
    <w:rsid w:val="004C200D"/>
    <w:rsid w:val="004C5016"/>
    <w:rsid w:val="004D2CFB"/>
    <w:rsid w:val="004F200F"/>
    <w:rsid w:val="00500800"/>
    <w:rsid w:val="0052187E"/>
    <w:rsid w:val="005329BF"/>
    <w:rsid w:val="005434D4"/>
    <w:rsid w:val="005452B1"/>
    <w:rsid w:val="00561ECF"/>
    <w:rsid w:val="00572AB5"/>
    <w:rsid w:val="00582001"/>
    <w:rsid w:val="00586896"/>
    <w:rsid w:val="0060744C"/>
    <w:rsid w:val="006112C2"/>
    <w:rsid w:val="00615394"/>
    <w:rsid w:val="00626601"/>
    <w:rsid w:val="00645689"/>
    <w:rsid w:val="00661658"/>
    <w:rsid w:val="00674D55"/>
    <w:rsid w:val="006B461E"/>
    <w:rsid w:val="006C1E15"/>
    <w:rsid w:val="006C3BBE"/>
    <w:rsid w:val="006D537B"/>
    <w:rsid w:val="006D7831"/>
    <w:rsid w:val="006F2F76"/>
    <w:rsid w:val="006F5C22"/>
    <w:rsid w:val="007028A9"/>
    <w:rsid w:val="0070777A"/>
    <w:rsid w:val="00712A79"/>
    <w:rsid w:val="00721085"/>
    <w:rsid w:val="00723AB7"/>
    <w:rsid w:val="0073251D"/>
    <w:rsid w:val="007340CF"/>
    <w:rsid w:val="007361C9"/>
    <w:rsid w:val="007368F5"/>
    <w:rsid w:val="0074761B"/>
    <w:rsid w:val="00752837"/>
    <w:rsid w:val="00754CD6"/>
    <w:rsid w:val="007717A5"/>
    <w:rsid w:val="007810A0"/>
    <w:rsid w:val="00795B38"/>
    <w:rsid w:val="00795CD3"/>
    <w:rsid w:val="007B1554"/>
    <w:rsid w:val="007C5CE6"/>
    <w:rsid w:val="007D73DB"/>
    <w:rsid w:val="007F7D78"/>
    <w:rsid w:val="00822686"/>
    <w:rsid w:val="008323FE"/>
    <w:rsid w:val="00837143"/>
    <w:rsid w:val="00863799"/>
    <w:rsid w:val="0087684B"/>
    <w:rsid w:val="008A4378"/>
    <w:rsid w:val="008A7F60"/>
    <w:rsid w:val="008B1D9B"/>
    <w:rsid w:val="008E23D4"/>
    <w:rsid w:val="008E3FF5"/>
    <w:rsid w:val="008E4BA7"/>
    <w:rsid w:val="0091725E"/>
    <w:rsid w:val="009310F5"/>
    <w:rsid w:val="0093236C"/>
    <w:rsid w:val="009341C0"/>
    <w:rsid w:val="00935370"/>
    <w:rsid w:val="00940EBC"/>
    <w:rsid w:val="009415C7"/>
    <w:rsid w:val="0094510B"/>
    <w:rsid w:val="00956994"/>
    <w:rsid w:val="00966820"/>
    <w:rsid w:val="0098024B"/>
    <w:rsid w:val="009A5BF9"/>
    <w:rsid w:val="009A66C4"/>
    <w:rsid w:val="009C0D08"/>
    <w:rsid w:val="009D1601"/>
    <w:rsid w:val="009D5C10"/>
    <w:rsid w:val="009E656E"/>
    <w:rsid w:val="00A00407"/>
    <w:rsid w:val="00A00754"/>
    <w:rsid w:val="00A02522"/>
    <w:rsid w:val="00A02561"/>
    <w:rsid w:val="00A13D31"/>
    <w:rsid w:val="00A140EC"/>
    <w:rsid w:val="00A15E70"/>
    <w:rsid w:val="00A24045"/>
    <w:rsid w:val="00A2490B"/>
    <w:rsid w:val="00A760BC"/>
    <w:rsid w:val="00AD123F"/>
    <w:rsid w:val="00AD2DDC"/>
    <w:rsid w:val="00AE5A9F"/>
    <w:rsid w:val="00AE6C81"/>
    <w:rsid w:val="00B03F91"/>
    <w:rsid w:val="00B17A34"/>
    <w:rsid w:val="00B2687B"/>
    <w:rsid w:val="00B27C5A"/>
    <w:rsid w:val="00B34A3F"/>
    <w:rsid w:val="00B4575B"/>
    <w:rsid w:val="00B5513F"/>
    <w:rsid w:val="00B7002A"/>
    <w:rsid w:val="00B9596C"/>
    <w:rsid w:val="00BB1D11"/>
    <w:rsid w:val="00BC43DD"/>
    <w:rsid w:val="00BE76CC"/>
    <w:rsid w:val="00BF5C41"/>
    <w:rsid w:val="00BF69B8"/>
    <w:rsid w:val="00C07282"/>
    <w:rsid w:val="00C16487"/>
    <w:rsid w:val="00C17600"/>
    <w:rsid w:val="00C17850"/>
    <w:rsid w:val="00C24021"/>
    <w:rsid w:val="00C2782B"/>
    <w:rsid w:val="00C335A7"/>
    <w:rsid w:val="00C400AE"/>
    <w:rsid w:val="00C46DF6"/>
    <w:rsid w:val="00C72A39"/>
    <w:rsid w:val="00C8158E"/>
    <w:rsid w:val="00CA45A8"/>
    <w:rsid w:val="00CB6ACC"/>
    <w:rsid w:val="00CC7241"/>
    <w:rsid w:val="00CC7845"/>
    <w:rsid w:val="00CC7A93"/>
    <w:rsid w:val="00CE0179"/>
    <w:rsid w:val="00D04B42"/>
    <w:rsid w:val="00D0626A"/>
    <w:rsid w:val="00D1189B"/>
    <w:rsid w:val="00D24491"/>
    <w:rsid w:val="00D26A57"/>
    <w:rsid w:val="00D5074A"/>
    <w:rsid w:val="00D62520"/>
    <w:rsid w:val="00D63C1F"/>
    <w:rsid w:val="00D711BE"/>
    <w:rsid w:val="00D72993"/>
    <w:rsid w:val="00D96CE6"/>
    <w:rsid w:val="00DB72A2"/>
    <w:rsid w:val="00DC1046"/>
    <w:rsid w:val="00DC3FDB"/>
    <w:rsid w:val="00DD0863"/>
    <w:rsid w:val="00DE0959"/>
    <w:rsid w:val="00DE60EC"/>
    <w:rsid w:val="00DF2DAB"/>
    <w:rsid w:val="00E24B96"/>
    <w:rsid w:val="00E31A3E"/>
    <w:rsid w:val="00E43F2C"/>
    <w:rsid w:val="00E44629"/>
    <w:rsid w:val="00E603F7"/>
    <w:rsid w:val="00E769AB"/>
    <w:rsid w:val="00E77B0C"/>
    <w:rsid w:val="00E77C06"/>
    <w:rsid w:val="00E81A58"/>
    <w:rsid w:val="00E97951"/>
    <w:rsid w:val="00E97B00"/>
    <w:rsid w:val="00EA3074"/>
    <w:rsid w:val="00EA47F8"/>
    <w:rsid w:val="00EB4715"/>
    <w:rsid w:val="00EC11B1"/>
    <w:rsid w:val="00EC66B8"/>
    <w:rsid w:val="00EE0875"/>
    <w:rsid w:val="00EE1283"/>
    <w:rsid w:val="00EE3F54"/>
    <w:rsid w:val="00EF2EEE"/>
    <w:rsid w:val="00F041FD"/>
    <w:rsid w:val="00F05070"/>
    <w:rsid w:val="00F05825"/>
    <w:rsid w:val="00F10520"/>
    <w:rsid w:val="00F20EF3"/>
    <w:rsid w:val="00F30F6A"/>
    <w:rsid w:val="00F3291F"/>
    <w:rsid w:val="00F3617D"/>
    <w:rsid w:val="00F45536"/>
    <w:rsid w:val="00F45FF4"/>
    <w:rsid w:val="00F51D1A"/>
    <w:rsid w:val="00F5582B"/>
    <w:rsid w:val="00F639E8"/>
    <w:rsid w:val="00F650E9"/>
    <w:rsid w:val="00F814D9"/>
    <w:rsid w:val="00F82EE8"/>
    <w:rsid w:val="00F90A57"/>
    <w:rsid w:val="00F9437C"/>
    <w:rsid w:val="00FB537B"/>
    <w:rsid w:val="00FC0FDE"/>
    <w:rsid w:val="00FD4C00"/>
    <w:rsid w:val="00FD790C"/>
    <w:rsid w:val="00FE3414"/>
    <w:rsid w:val="00FE5DF3"/>
    <w:rsid w:val="00FF03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0C44D8"/>
  <w15:docId w15:val="{2D677388-CCEB-443D-95F4-7C4B6873B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Cs w:val="22"/>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016"/>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7340CF"/>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rsid w:val="004C5016"/>
    <w:pPr>
      <w:jc w:val="both"/>
    </w:pPr>
    <w:rPr>
      <w:rFonts w:ascii="Arial" w:hAnsi="Arial"/>
      <w:sz w:val="20"/>
      <w:szCs w:val="20"/>
    </w:rPr>
  </w:style>
  <w:style w:type="character" w:customStyle="1" w:styleId="TextonotapieCar">
    <w:name w:val="Texto nota pie Car"/>
    <w:basedOn w:val="Fuentedeprrafopredeter"/>
    <w:link w:val="Textonotapie"/>
    <w:semiHidden/>
    <w:rsid w:val="004C5016"/>
    <w:rPr>
      <w:rFonts w:ascii="Arial" w:eastAsia="Times New Roman" w:hAnsi="Arial" w:cs="Times New Roman"/>
      <w:szCs w:val="20"/>
      <w:lang w:val="es-ES" w:eastAsia="es-ES"/>
    </w:rPr>
  </w:style>
  <w:style w:type="character" w:styleId="Refdenotaalpie">
    <w:name w:val="footnote reference"/>
    <w:basedOn w:val="Fuentedeprrafopredeter"/>
    <w:semiHidden/>
    <w:rsid w:val="004C5016"/>
    <w:rPr>
      <w:rFonts w:cs="Times New Roman"/>
      <w:vertAlign w:val="superscript"/>
    </w:rPr>
  </w:style>
  <w:style w:type="paragraph" w:styleId="z-Principiodelformulario">
    <w:name w:val="HTML Top of Form"/>
    <w:basedOn w:val="Normal"/>
    <w:next w:val="Normal"/>
    <w:link w:val="z-PrincipiodelformularioCar"/>
    <w:hidden/>
    <w:uiPriority w:val="99"/>
    <w:semiHidden/>
    <w:rsid w:val="004C5016"/>
    <w:pPr>
      <w:pBdr>
        <w:bottom w:val="single" w:sz="6" w:space="1" w:color="auto"/>
      </w:pBdr>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semiHidden/>
    <w:rsid w:val="004C5016"/>
    <w:rPr>
      <w:rFonts w:ascii="Arial" w:eastAsia="Times New Roman" w:hAnsi="Arial" w:cs="Arial"/>
      <w:vanish/>
      <w:sz w:val="16"/>
      <w:szCs w:val="16"/>
      <w:lang w:val="es-ES" w:eastAsia="es-ES"/>
    </w:rPr>
  </w:style>
  <w:style w:type="paragraph" w:styleId="Encabezado">
    <w:name w:val="header"/>
    <w:basedOn w:val="Normal"/>
    <w:link w:val="EncabezadoCar"/>
    <w:uiPriority w:val="99"/>
    <w:unhideWhenUsed/>
    <w:rsid w:val="004C5016"/>
    <w:pPr>
      <w:tabs>
        <w:tab w:val="center" w:pos="4419"/>
        <w:tab w:val="right" w:pos="8838"/>
      </w:tabs>
    </w:pPr>
  </w:style>
  <w:style w:type="character" w:customStyle="1" w:styleId="EncabezadoCar">
    <w:name w:val="Encabezado Car"/>
    <w:basedOn w:val="Fuentedeprrafopredeter"/>
    <w:link w:val="Encabezado"/>
    <w:uiPriority w:val="99"/>
    <w:rsid w:val="004C501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4C5016"/>
    <w:pPr>
      <w:tabs>
        <w:tab w:val="center" w:pos="4419"/>
        <w:tab w:val="right" w:pos="8838"/>
      </w:tabs>
    </w:pPr>
  </w:style>
  <w:style w:type="character" w:customStyle="1" w:styleId="PiedepginaCar">
    <w:name w:val="Pie de página Car"/>
    <w:basedOn w:val="Fuentedeprrafopredeter"/>
    <w:link w:val="Piedepgina"/>
    <w:uiPriority w:val="99"/>
    <w:rsid w:val="004C5016"/>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D04B42"/>
    <w:rPr>
      <w:rFonts w:ascii="Tahoma" w:hAnsi="Tahoma" w:cs="Tahoma"/>
      <w:sz w:val="16"/>
      <w:szCs w:val="16"/>
    </w:rPr>
  </w:style>
  <w:style w:type="character" w:customStyle="1" w:styleId="TextodegloboCar">
    <w:name w:val="Texto de globo Car"/>
    <w:basedOn w:val="Fuentedeprrafopredeter"/>
    <w:link w:val="Textodeglobo"/>
    <w:uiPriority w:val="99"/>
    <w:semiHidden/>
    <w:rsid w:val="00D04B42"/>
    <w:rPr>
      <w:rFonts w:ascii="Tahoma" w:eastAsia="Times New Roman" w:hAnsi="Tahoma" w:cs="Tahoma"/>
      <w:sz w:val="16"/>
      <w:szCs w:val="16"/>
      <w:lang w:val="es-ES" w:eastAsia="es-ES"/>
    </w:rPr>
  </w:style>
  <w:style w:type="paragraph" w:styleId="Prrafodelista">
    <w:name w:val="List Paragraph"/>
    <w:basedOn w:val="Normal"/>
    <w:uiPriority w:val="34"/>
    <w:qFormat/>
    <w:rsid w:val="001B5630"/>
    <w:pPr>
      <w:spacing w:after="200" w:line="276" w:lineRule="auto"/>
      <w:ind w:left="720"/>
      <w:contextualSpacing/>
    </w:pPr>
    <w:rPr>
      <w:rFonts w:asciiTheme="minorHAnsi" w:eastAsiaTheme="minorEastAsia" w:hAnsiTheme="minorHAnsi" w:cstheme="minorBidi"/>
      <w:sz w:val="22"/>
      <w:szCs w:val="22"/>
      <w:lang w:val="es-CL" w:eastAsia="es-CL"/>
    </w:rPr>
  </w:style>
  <w:style w:type="table" w:customStyle="1" w:styleId="Listaclara-nfasis11">
    <w:name w:val="Lista clara - Énfasis 11"/>
    <w:basedOn w:val="Tablanormal"/>
    <w:uiPriority w:val="61"/>
    <w:rsid w:val="00B17A34"/>
    <w:rPr>
      <w:rFonts w:asciiTheme="minorHAnsi" w:eastAsiaTheme="minorEastAsia" w:hAnsiTheme="minorHAnsi"/>
      <w:sz w:val="22"/>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aconcuadrcula">
    <w:name w:val="Table Grid"/>
    <w:basedOn w:val="Tablanormal"/>
    <w:uiPriority w:val="59"/>
    <w:unhideWhenUsed/>
    <w:rsid w:val="0060744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rsid w:val="007340CF"/>
    <w:rPr>
      <w:rFonts w:ascii="Arial" w:eastAsia="Times New Roman" w:hAnsi="Arial" w:cs="Arial"/>
      <w:b/>
      <w:bCs/>
      <w:i/>
      <w:iCs/>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07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85D16-211C-4A43-A761-EE501B893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2301</Words>
  <Characters>12658</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Ministerio Público</Company>
  <LinksUpToDate>false</LinksUpToDate>
  <CharactersWithSpaces>14930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bcalfunao</dc:creator>
  <cp:lastModifiedBy>Berta Calfunao Calfunao</cp:lastModifiedBy>
  <cp:revision>6</cp:revision>
  <cp:lastPrinted>2019-04-30T15:27:00Z</cp:lastPrinted>
  <dcterms:created xsi:type="dcterms:W3CDTF">2024-07-31T15:15:00Z</dcterms:created>
  <dcterms:modified xsi:type="dcterms:W3CDTF">2024-10-30T11:35:00Z</dcterms:modified>
</cp:coreProperties>
</file>